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</w:t>
      </w:r>
      <w:bookmarkStart w:id="0" w:name="_GoBack"/>
      <w:r>
        <w:rPr>
          <w:rFonts w:hint="eastAsia" w:ascii="仿宋_GB2312" w:eastAsia="仿宋_GB2312"/>
          <w:b/>
          <w:sz w:val="30"/>
          <w:szCs w:val="30"/>
        </w:rPr>
        <w:t>精品资源共享课</w:t>
      </w:r>
      <w:bookmarkEnd w:id="0"/>
      <w:r>
        <w:rPr>
          <w:rFonts w:hint="eastAsia" w:ascii="仿宋_GB2312" w:eastAsia="仿宋_GB2312"/>
          <w:b/>
          <w:sz w:val="30"/>
          <w:szCs w:val="30"/>
        </w:rPr>
        <w:t>验收指标（试行）</w:t>
      </w:r>
    </w:p>
    <w:tbl>
      <w:tblPr>
        <w:tblStyle w:val="6"/>
        <w:tblW w:w="15066" w:type="dxa"/>
        <w:jc w:val="center"/>
        <w:tblCellSpacing w:w="7" w:type="dxa"/>
        <w:tblInd w:w="39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CCCCCC"/>
        <w:tblLayout w:type="fixed"/>
        <w:tblCellMar>
          <w:top w:w="90" w:type="dxa"/>
          <w:left w:w="90" w:type="dxa"/>
          <w:bottom w:w="90" w:type="dxa"/>
          <w:right w:w="90" w:type="dxa"/>
        </w:tblCellMar>
      </w:tblPr>
      <w:tblGrid>
        <w:gridCol w:w="1535"/>
        <w:gridCol w:w="1340"/>
        <w:gridCol w:w="10612"/>
        <w:gridCol w:w="7"/>
        <w:gridCol w:w="157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</w:tblPrEx>
        <w:trPr>
          <w:trHeight w:val="249" w:hRule="atLeast"/>
          <w:tblCellSpacing w:w="7" w:type="dxa"/>
          <w:jc w:val="center"/>
        </w:trPr>
        <w:tc>
          <w:tcPr>
            <w:tcW w:w="15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观测内容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249" w:hRule="atLeast"/>
          <w:tblCellSpacing w:w="7" w:type="dxa"/>
          <w:jc w:val="center"/>
        </w:trPr>
        <w:tc>
          <w:tcPr>
            <w:tcW w:w="151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基本情况（10分）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建设任务完成情况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基本完成了申报时预设的各项建设目标。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9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建设思路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建设思路清晰，优势和特色显著。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655" w:hRule="atLeast"/>
          <w:tblCellSpacing w:w="7" w:type="dxa"/>
          <w:jc w:val="center"/>
        </w:trPr>
        <w:tc>
          <w:tcPr>
            <w:tcW w:w="151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课程建设团队（10分）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课程负责人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  <w:highlight w:val="yellow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具有良好师德，学术造诣深厚，具有高级专业技术职务；负责本课程建设和教学工作，教学经验丰富；教学能力强，教学特色鲜明，教学成效显著。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655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团队成员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团队知识结构、年龄结构、学缘结构合理；团队成员中包括专业教师和教育技术骨干，任务分工合理。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课程建设与实施（20分）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内容定位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课程定位明确，对实现人才培养目标起重要的支撑或促进作用，且与前导、后续课程衔接得当。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内容组织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遵循学习者的认知规律和能力培养规律安排教学内容、设计课程模块或教学单元，科学设计教学环节，合理分配教学时数，理论联系实际，课内课外有机结合，融知识传授、能力培养、素质教育于一体。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内容选择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体现现代教育思想，符合教育教学规律，具有基础性、科学性、系统性、先进性、适应性和针对性。适应开放教育和辅助学习需要，有助于学习者创新能力、实践能力和可持续发展能力的培养。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教学方法和手段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重视探究性学习、研究性学习，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能根据课程内容和学生特点，</w:t>
            </w: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灵活运用多种恰当的教学方法和教学手段，有效调动学生学习的积极性，激发学生学习兴趣，促进学生学习能力发展，教学效果好。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课程资源（25分）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资源建设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课程基本资源质量高，能系统反映本课程教学理念、教学思想、教学设计，及时反映高等教育教学改革和社会、科技发展的成果，持续更新和完善课程教学资源。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资源组织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各类基本资源均按照教学单元、专题或模块的框架，予以合理、有序的组织、配置和应用，与知识点、技能点对应清晰，导航简明。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教学录像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教学录像与教学大纲或教学日历匹配，进程合理；课程内容完整，授课人表述准确。教学录像布局合理，能充分展现课堂教学活动实况和本课程特色，录像制作水平较高，图像、声音播放清晰流畅。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教案或演示文稿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教案或演示文稿经过精心设计和制作，内容准确、系统、完整，有助于提高学生学习兴趣和教学效果。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其他基本资源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重点难点指导、作业、参考资料目录及其他类型基本资源契合教学要求，针对性、适用性强，对提高教学效果有实质性帮助。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10" w:hRule="atLeast"/>
          <w:tblCellSpacing w:w="7" w:type="dxa"/>
          <w:jc w:val="center"/>
        </w:trPr>
        <w:tc>
          <w:tcPr>
            <w:tcW w:w="15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知识产权保护（10分）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原创性和非原创性资源处理</w:t>
            </w:r>
          </w:p>
        </w:tc>
        <w:tc>
          <w:tcPr>
            <w:tcW w:w="1059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知识产权清晰。原创性资源比例较高。非原创性资源，除为介绍、评论某一作品或者说明某一问题，适当引用已经发表作品的非原创性资源，且已指明作品的名称和作者的姓名（名称）外，均已获得许可使用的授权。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64" w:hRule="atLeast"/>
          <w:tblCellSpacing w:w="7" w:type="dxa"/>
          <w:jc w:val="center"/>
        </w:trPr>
        <w:tc>
          <w:tcPr>
            <w:tcW w:w="151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建设成果（25分）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建设成果的创新性</w:t>
            </w:r>
          </w:p>
        </w:tc>
        <w:tc>
          <w:tcPr>
            <w:tcW w:w="10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与同类课程比较，本课程在某一(些)方面有实质创新，具有鲜明特色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。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579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开放共享情况</w:t>
            </w:r>
          </w:p>
        </w:tc>
        <w:tc>
          <w:tcPr>
            <w:tcW w:w="10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已建设开放的网络平台并开通较为畅通的共享渠道，课程网上共享已具有一定的点击量，受到好评。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309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成果价值</w:t>
            </w:r>
          </w:p>
        </w:tc>
        <w:tc>
          <w:tcPr>
            <w:tcW w:w="10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建设成果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起到良好的示范作用，对教学改革及提高人才培养质量起到积极的促进作用</w:t>
            </w: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。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371" w:hRule="atLeast"/>
          <w:tblCellSpacing w:w="7" w:type="dxa"/>
          <w:jc w:val="center"/>
        </w:trPr>
        <w:tc>
          <w:tcPr>
            <w:tcW w:w="151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推广及影响力</w:t>
            </w:r>
          </w:p>
        </w:tc>
        <w:tc>
          <w:tcPr>
            <w:tcW w:w="10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  <w:t>本课程的资源已在高校推广应用，对同类课程的教学质量提升发挥积极作用，对社会学习者的自主学习提供有益帮助。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371" w:hRule="atLeast"/>
          <w:tblCellSpacing w:w="7" w:type="dxa"/>
          <w:jc w:val="center"/>
        </w:trPr>
        <w:tc>
          <w:tcPr>
            <w:tcW w:w="1347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 w:hAnsi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bCs w:val="0"/>
                <w:sz w:val="28"/>
                <w:szCs w:val="28"/>
                <w:lang w:val="en-US" w:eastAsia="zh-CN"/>
              </w:rPr>
              <w:t>总  分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CCCCCC"/>
          <w:tblLayout w:type="fixed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rHeight w:val="1381" w:hRule="atLeast"/>
          <w:tblCellSpacing w:w="7" w:type="dxa"/>
          <w:jc w:val="center"/>
        </w:trPr>
        <w:tc>
          <w:tcPr>
            <w:tcW w:w="15038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eastAsia="仿宋_GB2312" w:hAnsi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bCs w:val="0"/>
                <w:sz w:val="28"/>
                <w:szCs w:val="28"/>
                <w:lang w:val="en-US"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62D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2017-10-20T08:02:28Z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