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0"/>
          <w:szCs w:val="30"/>
          <w:lang w:eastAsia="zh-CN"/>
        </w:rPr>
      </w:pPr>
      <w:r>
        <w:rPr>
          <w:rFonts w:hint="eastAsia" w:ascii="仿宋_GB2312" w:eastAsia="仿宋_GB2312"/>
          <w:b/>
          <w:sz w:val="30"/>
          <w:szCs w:val="30"/>
        </w:rPr>
        <w:t>广东省普通高等学校特色专业建设点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验收评分表</w:t>
      </w:r>
      <w:bookmarkStart w:id="0" w:name="_GoBack"/>
      <w:bookmarkEnd w:id="0"/>
    </w:p>
    <w:tbl>
      <w:tblPr>
        <w:tblStyle w:val="2"/>
        <w:tblW w:w="13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2070"/>
        <w:gridCol w:w="8701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tblHeader/>
          <w:jc w:val="center"/>
        </w:trPr>
        <w:tc>
          <w:tcPr>
            <w:tcW w:w="1754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87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指标内涵说明</w:t>
            </w:r>
          </w:p>
        </w:tc>
        <w:tc>
          <w:tcPr>
            <w:tcW w:w="122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754" w:type="dxa"/>
            <w:vMerge w:val="restart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1.建设目标与支持保障（15分）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专业定位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专业定位准确，思路清晰，符合经济建设与社会发展需求，具有先进的教育思想观念，质量意识强。</w:t>
            </w:r>
          </w:p>
        </w:tc>
        <w:tc>
          <w:tcPr>
            <w:tcW w:w="1229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专业建设措施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专业发展规划科学合理, 分期建设目标明确，体现学科优势和特色。专业建设措施得力，成效显著。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支持保障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在专业发展、课程和教材建设、人才引进和青年教师培训等方面有切实有效的政策支持和经费保障。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1754" w:type="dxa"/>
            <w:vMerge w:val="restart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2.师资队伍（15分）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整体结构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队伍年龄结构、职称结构、学缘结构合理，发展趋势好。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教授、副教授比例较高，有高</w:t>
            </w:r>
            <w:r>
              <w:rPr>
                <w:rFonts w:hint="eastAsia" w:ascii="仿宋_GB2312" w:eastAsia="仿宋_GB2312"/>
                <w:sz w:val="24"/>
                <w:szCs w:val="24"/>
              </w:rPr>
              <w:t>水平、高学历学科专业带头人，并有效推动本专业的建设。形成专兼职结合的教师队伍。</w:t>
            </w:r>
          </w:p>
        </w:tc>
        <w:tc>
          <w:tcPr>
            <w:tcW w:w="1229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师资培养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专业师资引进、培养规划和配套措施；有学校和行业、企业相结合的师资培养联动机制，能利用社会资源提升教师专业水平和实践能力。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教师素质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队伍整体素质高，有良好的科研背景和专业技术背景；专业主干课程由教授、副教授讲授；科研促进教学成效明显。项目立项以来，获省部级以上教学成果奖或同等层次的教学奖励超过1项。 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  <w:jc w:val="center"/>
        </w:trPr>
        <w:tc>
          <w:tcPr>
            <w:tcW w:w="1754" w:type="dxa"/>
            <w:vMerge w:val="restart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3.教学条件（10分）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教学资源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教学基本设施（含实验室、实习基地、图书资料、校园网络建设等）能满足培养高素质人才的需要；充分开发、利用多种教学资源（如网上资源、电子教材等）。</w:t>
            </w:r>
          </w:p>
        </w:tc>
        <w:tc>
          <w:tcPr>
            <w:tcW w:w="1229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经费投入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用于专业师资队伍建设、实验室建设、课程建设、教材建设、教学方法及现代教育技术等专项的建设经费充足。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4" w:hRule="atLeast"/>
          <w:jc w:val="center"/>
        </w:trPr>
        <w:tc>
          <w:tcPr>
            <w:tcW w:w="1754" w:type="dxa"/>
            <w:vMerge w:val="restart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4.建设成果（45分）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人才培养方案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立足于区域文化和产业，社会发展需求制定人才培养方案；培养方案（计划）设计科学，具有显著的专业办学特色，很好地反映培养目标对知识、能力及素质的要求。</w:t>
            </w:r>
          </w:p>
        </w:tc>
        <w:tc>
          <w:tcPr>
            <w:tcW w:w="1229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1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课程与教材建设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课程体系和教学内容改革符合创新创业人才培养的要求，课程改革与建设有计划、有措施、成效显著，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近五年建成省级以上精品开放课程≥1门；依托专业建设，形成一系列高水平的教材成果。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专业教学质量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教学质量监控体系科学、完善，运行有效，成效显著；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专业指导委员会能实质性、制度性参与人才培养全过程；</w:t>
            </w:r>
            <w:r>
              <w:rPr>
                <w:rFonts w:hint="eastAsia" w:ascii="仿宋_GB2312" w:eastAsia="仿宋_GB2312"/>
                <w:sz w:val="24"/>
                <w:szCs w:val="24"/>
              </w:rPr>
              <w:t>对毕业论文或毕业设计的质量有得力的监控措施且执行情况良好；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社会需求调研制度化。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2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实验教学体系建设（文科部分专业本条可适当放宽）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实践教学体系设计科学合理，及时动态更新。不断改革创新实践教学内容，开展多种形式的实践教学活动，创造条件促进学生较早参加科研和创新活动，实施效果良好；有稳定的校内外实习基地,能满足因材施教的实践教学要求；实习时间有保证,措施完善,效果好；实践教学队伍结构合理，满足教学需要；专业实验室场地充足、设备完善，运行投入常态化，开放共享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754" w:type="dxa"/>
            <w:vMerge w:val="restart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5.人才培养质量和社会声誉（15分）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人才培养质量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学生思想道德素养和文化素质水平较高；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学生创新精神和实践能力强。佐证材料中含有高水平的学生创新或获奖成果。</w:t>
            </w:r>
          </w:p>
        </w:tc>
        <w:tc>
          <w:tcPr>
            <w:tcW w:w="1229" w:type="dxa"/>
            <w:vMerge w:val="restart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1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社会声誉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毕业生的综合评价好。毕业生在社会上的声誉好，对经济社会发展贡献大。在同类学校或同类专业中反响好，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专业建设成果示范辐射作用成效显著，在国内有较大影响。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1754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特色项目</w:t>
            </w:r>
          </w:p>
        </w:tc>
        <w:tc>
          <w:tcPr>
            <w:tcW w:w="8701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在专业建设中形成优于其他同类专业的独特优质风貌，特色对优化人才培养过程,提高教学质量作用大，效果显著。</w:t>
            </w:r>
          </w:p>
        </w:tc>
        <w:tc>
          <w:tcPr>
            <w:tcW w:w="1229" w:type="dxa"/>
            <w:vMerge w:val="continue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25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1229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jc w:val="center"/>
        </w:trPr>
        <w:tc>
          <w:tcPr>
            <w:tcW w:w="12525" w:type="dxa"/>
            <w:gridSpan w:val="3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专家签名：</w:t>
            </w:r>
          </w:p>
        </w:tc>
        <w:tc>
          <w:tcPr>
            <w:tcW w:w="1229" w:type="dxa"/>
            <w:vAlign w:val="center"/>
          </w:tcPr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E72CD"/>
    <w:rsid w:val="01A35880"/>
    <w:rsid w:val="281C000E"/>
    <w:rsid w:val="2B065A9A"/>
    <w:rsid w:val="6F2E72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2019-11-12T06:58:00Z</dcterms:created>
  <dc:creator>Administrator</dc:creator>
  <cp:lastModifiedBy>李捷</cp:lastModifiedBy>
  <dcterms:modified xsi:type="dcterms:W3CDTF">2020-10-28T04:45:15Z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