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249" w:firstLineChars="700"/>
        <w:rPr>
          <w:b/>
          <w:color w:val="1E1C11" w:themeColor="background2" w:themeShade="1A"/>
          <w:sz w:val="32"/>
          <w:szCs w:val="32"/>
        </w:rPr>
      </w:pPr>
      <w:r>
        <w:rPr>
          <w:rFonts w:hint="eastAsia"/>
          <w:b/>
          <w:color w:val="1E1C11" w:themeColor="background2" w:themeShade="1A"/>
          <w:sz w:val="32"/>
          <w:szCs w:val="32"/>
        </w:rPr>
        <w:t>关于组织201</w:t>
      </w:r>
      <w:r>
        <w:rPr>
          <w:rFonts w:hint="eastAsia" w:eastAsiaTheme="minorEastAsia"/>
          <w:b/>
          <w:color w:val="1E1C11" w:themeColor="background2" w:themeShade="1A"/>
          <w:sz w:val="32"/>
          <w:szCs w:val="32"/>
        </w:rPr>
        <w:t>7</w:t>
      </w:r>
      <w:r>
        <w:rPr>
          <w:rFonts w:hint="eastAsia"/>
          <w:b/>
          <w:color w:val="1E1C11" w:themeColor="background2" w:themeShade="1A"/>
          <w:sz w:val="32"/>
          <w:szCs w:val="32"/>
        </w:rPr>
        <w:t>级、201</w:t>
      </w:r>
      <w:r>
        <w:rPr>
          <w:rFonts w:hint="eastAsia" w:eastAsiaTheme="minorEastAsia"/>
          <w:b/>
          <w:color w:val="1E1C11" w:themeColor="background2" w:themeShade="1A"/>
          <w:sz w:val="32"/>
          <w:szCs w:val="32"/>
        </w:rPr>
        <w:t>8</w:t>
      </w:r>
      <w:r>
        <w:rPr>
          <w:rFonts w:hint="eastAsia"/>
          <w:b/>
          <w:color w:val="1E1C11" w:themeColor="background2" w:themeShade="1A"/>
          <w:sz w:val="32"/>
          <w:szCs w:val="32"/>
        </w:rPr>
        <w:t>级学生修读</w:t>
      </w:r>
    </w:p>
    <w:p>
      <w:pPr>
        <w:ind w:firstLine="157" w:firstLineChars="49"/>
        <w:jc w:val="center"/>
        <w:rPr>
          <w:b/>
          <w:color w:val="1E1C11" w:themeColor="background2" w:themeShade="1A"/>
          <w:sz w:val="32"/>
          <w:szCs w:val="32"/>
        </w:rPr>
      </w:pPr>
      <w:r>
        <w:rPr>
          <w:rFonts w:hint="eastAsia"/>
          <w:b/>
          <w:color w:val="1E1C11" w:themeColor="background2" w:themeShade="1A"/>
          <w:sz w:val="32"/>
          <w:szCs w:val="32"/>
        </w:rPr>
        <w:t>201</w:t>
      </w:r>
      <w:r>
        <w:rPr>
          <w:rFonts w:hint="eastAsia" w:eastAsiaTheme="minorEastAsia"/>
          <w:b/>
          <w:color w:val="1E1C11" w:themeColor="background2" w:themeShade="1A"/>
          <w:sz w:val="32"/>
          <w:szCs w:val="32"/>
        </w:rPr>
        <w:t>9</w:t>
      </w:r>
      <w:r>
        <w:rPr>
          <w:rFonts w:hint="eastAsia"/>
          <w:b/>
          <w:color w:val="1E1C11" w:themeColor="background2" w:themeShade="1A"/>
          <w:sz w:val="32"/>
          <w:szCs w:val="32"/>
        </w:rPr>
        <w:t>-2020学年第</w:t>
      </w:r>
      <w:r>
        <w:rPr>
          <w:rFonts w:hint="eastAsia" w:eastAsiaTheme="minorEastAsia"/>
          <w:b/>
          <w:color w:val="1E1C11" w:themeColor="background2" w:themeShade="1A"/>
          <w:sz w:val="32"/>
          <w:szCs w:val="32"/>
          <w:lang w:eastAsia="zh-CN"/>
        </w:rPr>
        <w:t>二</w:t>
      </w:r>
      <w:r>
        <w:rPr>
          <w:rFonts w:hint="eastAsia"/>
          <w:b/>
          <w:color w:val="1E1C11" w:themeColor="background2" w:themeShade="1A"/>
          <w:sz w:val="32"/>
          <w:szCs w:val="32"/>
        </w:rPr>
        <w:t>学期辅修专业的通知</w:t>
      </w:r>
    </w:p>
    <w:p>
      <w:pPr>
        <w:spacing w:line="440" w:lineRule="exact"/>
        <w:rPr>
          <w:b/>
          <w:color w:val="1E1C11" w:themeColor="background2" w:themeShade="1A"/>
          <w:sz w:val="32"/>
          <w:szCs w:val="32"/>
        </w:rPr>
      </w:pPr>
      <w:r>
        <w:rPr>
          <w:rFonts w:hint="eastAsia"/>
          <w:color w:val="1E1C11" w:themeColor="background2" w:themeShade="1A"/>
          <w:sz w:val="24"/>
        </w:rPr>
        <w:t>各学院、班级：</w:t>
      </w:r>
    </w:p>
    <w:p>
      <w:pPr>
        <w:spacing w:line="440" w:lineRule="exact"/>
        <w:rPr>
          <w:color w:val="1E1C11" w:themeColor="background2" w:themeShade="1A"/>
          <w:sz w:val="24"/>
        </w:rPr>
      </w:pPr>
      <w:r>
        <w:rPr>
          <w:rFonts w:hint="eastAsia"/>
          <w:color w:val="1E1C11" w:themeColor="background2" w:themeShade="1A"/>
          <w:sz w:val="24"/>
        </w:rPr>
        <w:t xml:space="preserve">    为了鼓励学有余力的同学在完成主修专业的前提下修读辅修专业，提高就业竞争力，现开设并组织</w:t>
      </w:r>
      <w:r>
        <w:rPr>
          <w:rFonts w:hint="eastAsia"/>
          <w:color w:val="1E1C11" w:themeColor="background2" w:themeShade="1A"/>
          <w:sz w:val="24"/>
          <w:lang w:val="en-US" w:eastAsia="zh-CN"/>
        </w:rPr>
        <w:t>2017级、2018级</w:t>
      </w:r>
      <w:r>
        <w:rPr>
          <w:rFonts w:hint="eastAsia"/>
          <w:color w:val="1E1C11" w:themeColor="background2" w:themeShade="1A"/>
          <w:sz w:val="24"/>
        </w:rPr>
        <w:t>学生报名修读辅修专业。现将有关事项通知如下：</w:t>
      </w:r>
    </w:p>
    <w:p>
      <w:pPr>
        <w:pStyle w:val="2"/>
        <w:tabs>
          <w:tab w:val="left" w:pos="525"/>
        </w:tabs>
        <w:snapToGrid w:val="0"/>
        <w:spacing w:before="0" w:beforeAutospacing="0" w:after="0" w:afterAutospacing="0" w:line="440" w:lineRule="exact"/>
        <w:ind w:firstLine="482" w:firstLineChars="200"/>
        <w:rPr>
          <w:rFonts w:ascii="Verdana" w:hAnsi="Verdana" w:cs="Arial"/>
          <w:color w:val="1E1C11" w:themeColor="background2" w:themeShade="1A"/>
          <w:sz w:val="24"/>
          <w:szCs w:val="24"/>
        </w:rPr>
      </w:pPr>
      <w:r>
        <w:rPr>
          <w:rFonts w:ascii="Verdana" w:hAnsi="Verdana" w:cs="Arial"/>
          <w:color w:val="1E1C11" w:themeColor="background2" w:themeShade="1A"/>
          <w:sz w:val="24"/>
          <w:szCs w:val="24"/>
        </w:rPr>
        <w:t>一、报名</w:t>
      </w:r>
      <w:r>
        <w:rPr>
          <w:rFonts w:hint="eastAsia" w:ascii="Verdana" w:hAnsi="Verdana" w:cs="Arial"/>
          <w:color w:val="1E1C11" w:themeColor="background2" w:themeShade="1A"/>
          <w:sz w:val="24"/>
          <w:szCs w:val="24"/>
        </w:rPr>
        <w:t>时间</w:t>
      </w:r>
    </w:p>
    <w:p>
      <w:pPr>
        <w:spacing w:line="440" w:lineRule="exact"/>
        <w:ind w:firstLine="480" w:firstLineChars="200"/>
        <w:rPr>
          <w:rFonts w:ascii="宋体" w:hAnsi="宋体"/>
          <w:color w:val="1E1C11" w:themeColor="background2" w:themeShade="1A"/>
          <w:sz w:val="24"/>
        </w:rPr>
      </w:pPr>
      <w:r>
        <w:rPr>
          <w:rFonts w:hint="eastAsia" w:ascii="宋体" w:hAnsi="宋体"/>
          <w:color w:val="1E1C11" w:themeColor="background2" w:themeShade="1A"/>
          <w:sz w:val="24"/>
        </w:rPr>
        <w:t>2019年</w:t>
      </w:r>
      <w:r>
        <w:rPr>
          <w:rFonts w:hint="eastAsia" w:ascii="宋体" w:hAnsi="宋体"/>
          <w:color w:val="1E1C11" w:themeColor="background2" w:themeShade="1A"/>
          <w:sz w:val="24"/>
          <w:lang w:val="en-US" w:eastAsia="zh-CN"/>
        </w:rPr>
        <w:t>11</w:t>
      </w:r>
      <w:r>
        <w:rPr>
          <w:rFonts w:hint="eastAsia" w:ascii="宋体" w:hAnsi="宋体"/>
          <w:color w:val="1E1C11" w:themeColor="background2" w:themeShade="1A"/>
          <w:sz w:val="24"/>
        </w:rPr>
        <w:t>月</w:t>
      </w:r>
      <w:r>
        <w:rPr>
          <w:rFonts w:hint="eastAsia" w:ascii="宋体" w:hAnsi="宋体" w:eastAsiaTheme="minorEastAsia"/>
          <w:color w:val="1E1C11" w:themeColor="background2" w:themeShade="1A"/>
          <w:sz w:val="24"/>
          <w:lang w:val="en-US" w:eastAsia="zh-CN"/>
        </w:rPr>
        <w:t>21</w:t>
      </w:r>
      <w:r>
        <w:rPr>
          <w:rFonts w:hint="eastAsia" w:ascii="宋体" w:hAnsi="宋体"/>
          <w:color w:val="1E1C11" w:themeColor="background2" w:themeShade="1A"/>
          <w:sz w:val="24"/>
        </w:rPr>
        <w:t>日（周</w:t>
      </w:r>
      <w:r>
        <w:rPr>
          <w:rFonts w:hint="eastAsia" w:ascii="宋体" w:hAnsi="宋体"/>
          <w:color w:val="1E1C11" w:themeColor="background2" w:themeShade="1A"/>
          <w:sz w:val="24"/>
          <w:lang w:eastAsia="zh-CN"/>
        </w:rPr>
        <w:t>四</w:t>
      </w:r>
      <w:r>
        <w:rPr>
          <w:rFonts w:hint="eastAsia" w:ascii="宋体" w:hAnsi="宋体"/>
          <w:color w:val="1E1C11" w:themeColor="background2" w:themeShade="1A"/>
          <w:sz w:val="24"/>
        </w:rPr>
        <w:t>）—2019年</w:t>
      </w:r>
      <w:r>
        <w:rPr>
          <w:rFonts w:hint="eastAsia" w:ascii="宋体" w:hAnsi="宋体"/>
          <w:color w:val="1E1C11" w:themeColor="background2" w:themeShade="1A"/>
          <w:sz w:val="24"/>
          <w:lang w:val="en-US" w:eastAsia="zh-CN"/>
        </w:rPr>
        <w:t>12</w:t>
      </w:r>
      <w:r>
        <w:rPr>
          <w:rFonts w:hint="eastAsia" w:ascii="宋体" w:hAnsi="宋体"/>
          <w:color w:val="1E1C11" w:themeColor="background2" w:themeShade="1A"/>
          <w:sz w:val="24"/>
        </w:rPr>
        <w:t>月</w:t>
      </w:r>
      <w:r>
        <w:rPr>
          <w:rFonts w:hint="eastAsia" w:ascii="宋体" w:hAnsi="宋体"/>
          <w:color w:val="1E1C11" w:themeColor="background2" w:themeShade="1A"/>
          <w:sz w:val="24"/>
          <w:lang w:val="en-US" w:eastAsia="zh-CN"/>
        </w:rPr>
        <w:t>27</w:t>
      </w:r>
      <w:r>
        <w:rPr>
          <w:rFonts w:hint="eastAsia" w:ascii="宋体" w:hAnsi="宋体"/>
          <w:color w:val="1E1C11" w:themeColor="background2" w:themeShade="1A"/>
          <w:sz w:val="24"/>
        </w:rPr>
        <w:t>日（周五）</w:t>
      </w:r>
    </w:p>
    <w:p>
      <w:pPr>
        <w:pStyle w:val="2"/>
        <w:tabs>
          <w:tab w:val="left" w:pos="525"/>
        </w:tabs>
        <w:snapToGrid w:val="0"/>
        <w:spacing w:before="0" w:beforeAutospacing="0" w:after="0" w:afterAutospacing="0" w:line="440" w:lineRule="exact"/>
        <w:ind w:firstLine="482" w:firstLineChars="200"/>
        <w:rPr>
          <w:rFonts w:ascii="Verdana" w:hAnsi="Verdana" w:cs="Arial"/>
          <w:color w:val="1E1C11" w:themeColor="background2" w:themeShade="1A"/>
          <w:sz w:val="24"/>
          <w:szCs w:val="24"/>
        </w:rPr>
      </w:pPr>
      <w:r>
        <w:rPr>
          <w:rFonts w:hint="eastAsia" w:ascii="Verdana" w:hAnsi="Verdana" w:cs="Arial"/>
          <w:color w:val="1E1C11" w:themeColor="background2" w:themeShade="1A"/>
          <w:sz w:val="24"/>
          <w:szCs w:val="24"/>
        </w:rPr>
        <w:t>二</w:t>
      </w:r>
      <w:r>
        <w:rPr>
          <w:rFonts w:ascii="Verdana" w:hAnsi="Verdana" w:cs="Arial"/>
          <w:color w:val="1E1C11" w:themeColor="background2" w:themeShade="1A"/>
          <w:sz w:val="24"/>
          <w:szCs w:val="24"/>
        </w:rPr>
        <w:t>、报名</w:t>
      </w:r>
      <w:r>
        <w:rPr>
          <w:rFonts w:hint="eastAsia" w:ascii="Verdana" w:hAnsi="Verdana" w:cs="Arial"/>
          <w:color w:val="1E1C11" w:themeColor="background2" w:themeShade="1A"/>
          <w:sz w:val="24"/>
          <w:szCs w:val="24"/>
        </w:rPr>
        <w:t>对象及资格</w:t>
      </w:r>
    </w:p>
    <w:p>
      <w:pPr>
        <w:spacing w:line="440" w:lineRule="exact"/>
        <w:ind w:firstLine="360" w:firstLineChars="150"/>
        <w:rPr>
          <w:rFonts w:ascii="宋体" w:hAnsi="宋体"/>
          <w:color w:val="1E1C11" w:themeColor="background2" w:themeShade="1A"/>
          <w:sz w:val="24"/>
        </w:rPr>
      </w:pPr>
      <w:r>
        <w:rPr>
          <w:rFonts w:hint="eastAsia" w:ascii="宋体" w:hAnsi="宋体"/>
          <w:color w:val="1E1C11" w:themeColor="background2" w:themeShade="1A"/>
          <w:sz w:val="24"/>
        </w:rPr>
        <w:t>（一）2017级、2018 级在校本科生。</w:t>
      </w:r>
      <w:bookmarkStart w:id="0" w:name="_GoBack"/>
      <w:bookmarkEnd w:id="0"/>
    </w:p>
    <w:p>
      <w:pPr>
        <w:spacing w:line="440" w:lineRule="exact"/>
        <w:ind w:firstLine="360" w:firstLineChars="150"/>
        <w:rPr>
          <w:rFonts w:ascii="宋体" w:hAnsi="宋体"/>
          <w:color w:val="1E1C11" w:themeColor="background2" w:themeShade="1A"/>
          <w:sz w:val="24"/>
        </w:rPr>
      </w:pPr>
      <w:r>
        <w:rPr>
          <w:rFonts w:hint="eastAsia" w:ascii="宋体" w:hAnsi="宋体"/>
          <w:color w:val="1E1C11" w:themeColor="background2" w:themeShade="1A"/>
          <w:sz w:val="24"/>
        </w:rPr>
        <w:t>（二）主修专业课程全部及格，且平均学分绩点在2.0以上。</w:t>
      </w:r>
    </w:p>
    <w:p>
      <w:pPr>
        <w:spacing w:line="440" w:lineRule="exact"/>
        <w:ind w:firstLine="482" w:firstLineChars="200"/>
        <w:rPr>
          <w:b/>
          <w:color w:val="1E1C11" w:themeColor="background2" w:themeShade="1A"/>
          <w:szCs w:val="21"/>
        </w:rPr>
      </w:pPr>
      <w:r>
        <w:rPr>
          <w:rFonts w:ascii="Verdana" w:hAnsi="Verdana" w:cs="Arial"/>
          <w:b/>
          <w:color w:val="1E1C11" w:themeColor="background2" w:themeShade="1A"/>
          <w:sz w:val="24"/>
        </w:rPr>
        <w:t>三、报名</w:t>
      </w:r>
      <w:r>
        <w:rPr>
          <w:rFonts w:hint="eastAsia" w:ascii="Verdana" w:hAnsi="Verdana" w:cs="Arial"/>
          <w:b/>
          <w:color w:val="1E1C11" w:themeColor="background2" w:themeShade="1A"/>
          <w:sz w:val="24"/>
        </w:rPr>
        <w:t>专业</w:t>
      </w:r>
    </w:p>
    <w:p>
      <w:pPr>
        <w:spacing w:line="440" w:lineRule="exact"/>
        <w:ind w:firstLine="480" w:firstLineChars="200"/>
        <w:rPr>
          <w:color w:val="1E1C11" w:themeColor="background2" w:themeShade="1A"/>
          <w:sz w:val="24"/>
        </w:rPr>
      </w:pPr>
      <w:r>
        <w:rPr>
          <w:rFonts w:hint="eastAsia" w:asciiTheme="majorEastAsia" w:hAnsiTheme="majorEastAsia" w:eastAsiaTheme="majorEastAsia"/>
          <w:color w:val="1E1C11" w:themeColor="background2" w:themeShade="1A"/>
          <w:sz w:val="24"/>
        </w:rPr>
        <w:t>2019-2020</w:t>
      </w:r>
      <w:r>
        <w:rPr>
          <w:rFonts w:hint="eastAsia"/>
          <w:color w:val="1E1C11" w:themeColor="background2" w:themeShade="1A"/>
          <w:sz w:val="24"/>
        </w:rPr>
        <w:t>学年第</w:t>
      </w:r>
      <w:r>
        <w:rPr>
          <w:rFonts w:hint="eastAsia"/>
          <w:color w:val="1E1C11" w:themeColor="background2" w:themeShade="1A"/>
          <w:sz w:val="24"/>
          <w:lang w:eastAsia="zh-CN"/>
        </w:rPr>
        <w:t>二</w:t>
      </w:r>
      <w:r>
        <w:rPr>
          <w:rFonts w:hint="eastAsia"/>
          <w:color w:val="1E1C11" w:themeColor="background2" w:themeShade="1A"/>
          <w:sz w:val="24"/>
        </w:rPr>
        <w:t>学期拟开设学前教育、数字媒体技术、日语、</w:t>
      </w:r>
      <w:r>
        <w:rPr>
          <w:rFonts w:hint="eastAsia"/>
          <w:color w:val="1E1C11" w:themeColor="background2" w:themeShade="1A"/>
          <w:sz w:val="24"/>
          <w:lang w:eastAsia="zh-CN"/>
        </w:rPr>
        <w:t>韩</w:t>
      </w:r>
      <w:r>
        <w:rPr>
          <w:rFonts w:hint="eastAsia"/>
          <w:color w:val="1E1C11" w:themeColor="background2" w:themeShade="1A"/>
          <w:sz w:val="24"/>
        </w:rPr>
        <w:t>语、阿拉伯语</w:t>
      </w:r>
      <w:r>
        <w:rPr>
          <w:rFonts w:hint="eastAsia"/>
          <w:color w:val="1E1C11" w:themeColor="background2" w:themeShade="1A"/>
          <w:sz w:val="24"/>
          <w:lang w:eastAsia="zh-CN"/>
        </w:rPr>
        <w:t>、</w:t>
      </w:r>
      <w:r>
        <w:rPr>
          <w:rFonts w:hint="eastAsia"/>
          <w:color w:val="1E1C11" w:themeColor="background2" w:themeShade="1A"/>
          <w:sz w:val="24"/>
        </w:rPr>
        <w:t>泰语、越南语、西班牙语、德语、</w:t>
      </w:r>
      <w:r>
        <w:rPr>
          <w:rFonts w:hint="eastAsia"/>
          <w:color w:val="1E1C11" w:themeColor="background2" w:themeShade="1A"/>
          <w:sz w:val="24"/>
          <w:lang w:eastAsia="zh-CN"/>
        </w:rPr>
        <w:t>俄</w:t>
      </w:r>
      <w:r>
        <w:rPr>
          <w:rFonts w:hint="eastAsia"/>
          <w:color w:val="1E1C11" w:themeColor="background2" w:themeShade="1A"/>
          <w:sz w:val="24"/>
        </w:rPr>
        <w:t>语1</w:t>
      </w:r>
      <w:r>
        <w:rPr>
          <w:rFonts w:hint="eastAsia"/>
          <w:color w:val="1E1C11" w:themeColor="background2" w:themeShade="1A"/>
          <w:sz w:val="24"/>
          <w:lang w:val="en-US" w:eastAsia="zh-CN"/>
        </w:rPr>
        <w:t>0</w:t>
      </w:r>
      <w:r>
        <w:rPr>
          <w:rFonts w:hint="eastAsia"/>
          <w:color w:val="1E1C11" w:themeColor="background2" w:themeShade="1A"/>
          <w:sz w:val="24"/>
        </w:rPr>
        <w:t>个辅修专业。</w:t>
      </w:r>
    </w:p>
    <w:p>
      <w:pPr>
        <w:spacing w:line="440" w:lineRule="exact"/>
        <w:ind w:firstLine="482" w:firstLineChars="200"/>
        <w:jc w:val="left"/>
        <w:rPr>
          <w:b/>
          <w:color w:val="1E1C11" w:themeColor="background2" w:themeShade="1A"/>
          <w:szCs w:val="21"/>
        </w:rPr>
      </w:pPr>
      <w:r>
        <w:rPr>
          <w:rFonts w:hint="eastAsia" w:ascii="Verdana" w:hAnsi="Verdana" w:cs="Arial"/>
          <w:b/>
          <w:color w:val="1E1C11" w:themeColor="background2" w:themeShade="1A"/>
          <w:sz w:val="24"/>
        </w:rPr>
        <w:t>四</w:t>
      </w:r>
      <w:r>
        <w:rPr>
          <w:rFonts w:ascii="Verdana" w:hAnsi="Verdana" w:cs="Arial"/>
          <w:b/>
          <w:color w:val="1E1C11" w:themeColor="background2" w:themeShade="1A"/>
          <w:sz w:val="24"/>
        </w:rPr>
        <w:t>、报名方法</w:t>
      </w:r>
    </w:p>
    <w:p>
      <w:pPr>
        <w:spacing w:line="440" w:lineRule="exact"/>
        <w:ind w:firstLine="480" w:firstLineChars="200"/>
        <w:rPr>
          <w:rFonts w:ascii="宋体" w:hAnsi="宋体"/>
          <w:color w:val="1E1C11" w:themeColor="background2" w:themeShade="1A"/>
          <w:sz w:val="24"/>
        </w:rPr>
      </w:pPr>
      <w:r>
        <w:rPr>
          <w:rFonts w:hint="eastAsia" w:ascii="宋体" w:hAnsi="宋体"/>
          <w:color w:val="1E1C11" w:themeColor="background2" w:themeShade="1A"/>
          <w:sz w:val="24"/>
        </w:rPr>
        <w:t>符合辅修条件并有意愿修读辅修专业的学生，可到所报辅修专业开设教学单位咨询（见附件1）并报名登记，在201</w:t>
      </w:r>
      <w:r>
        <w:rPr>
          <w:rFonts w:hint="eastAsia" w:ascii="宋体" w:hAnsi="宋体"/>
          <w:color w:val="1E1C11" w:themeColor="background2" w:themeShade="1A"/>
          <w:sz w:val="24"/>
          <w:lang w:val="en-US" w:eastAsia="zh-CN"/>
        </w:rPr>
        <w:t>9</w:t>
      </w:r>
      <w:r>
        <w:rPr>
          <w:rFonts w:hint="eastAsia" w:ascii="宋体" w:hAnsi="宋体"/>
          <w:color w:val="1E1C11" w:themeColor="background2" w:themeShade="1A"/>
          <w:sz w:val="24"/>
        </w:rPr>
        <w:t>年</w:t>
      </w:r>
      <w:r>
        <w:rPr>
          <w:rFonts w:hint="eastAsia" w:ascii="宋体" w:hAnsi="宋体"/>
          <w:color w:val="1E1C11" w:themeColor="background2" w:themeShade="1A"/>
          <w:sz w:val="24"/>
          <w:lang w:val="en-US" w:eastAsia="zh-CN"/>
        </w:rPr>
        <w:t>12</w:t>
      </w:r>
      <w:r>
        <w:rPr>
          <w:rFonts w:hint="eastAsia" w:ascii="宋体" w:hAnsi="宋体"/>
          <w:color w:val="1E1C11" w:themeColor="background2" w:themeShade="1A"/>
          <w:sz w:val="24"/>
        </w:rPr>
        <w:t>月</w:t>
      </w:r>
      <w:r>
        <w:rPr>
          <w:rFonts w:hint="eastAsia" w:ascii="宋体" w:hAnsi="宋体"/>
          <w:color w:val="1E1C11" w:themeColor="background2" w:themeShade="1A"/>
          <w:sz w:val="24"/>
          <w:lang w:val="en-US" w:eastAsia="zh-CN"/>
        </w:rPr>
        <w:t>27</w:t>
      </w:r>
      <w:r>
        <w:rPr>
          <w:rFonts w:hint="eastAsia" w:ascii="宋体" w:hAnsi="宋体"/>
          <w:color w:val="1E1C11" w:themeColor="background2" w:themeShade="1A"/>
          <w:sz w:val="24"/>
        </w:rPr>
        <w:t>日（周五）前填写《辅修专业修读申请表》（见附件2）并附成绩单，经学生主修专业所在教学单位及辅修专业开设单位进行资格初审，交教务处审核后由辅修专业开设单位公布录取名单。</w:t>
      </w:r>
    </w:p>
    <w:p>
      <w:pPr>
        <w:spacing w:line="440" w:lineRule="exact"/>
        <w:rPr>
          <w:b/>
          <w:color w:val="1E1C11" w:themeColor="background2" w:themeShade="1A"/>
          <w:sz w:val="24"/>
        </w:rPr>
      </w:pPr>
      <w:r>
        <w:rPr>
          <w:rFonts w:hint="eastAsia" w:ascii="宋体" w:hAnsi="宋体"/>
          <w:color w:val="1E1C11" w:themeColor="background2" w:themeShade="1A"/>
          <w:sz w:val="24"/>
        </w:rPr>
        <w:t>　　</w:t>
      </w:r>
      <w:r>
        <w:rPr>
          <w:rFonts w:hint="eastAsia"/>
          <w:b/>
          <w:color w:val="1E1C11" w:themeColor="background2" w:themeShade="1A"/>
          <w:sz w:val="24"/>
        </w:rPr>
        <w:t>五、报名注意事项</w:t>
      </w:r>
    </w:p>
    <w:p>
      <w:pPr>
        <w:spacing w:line="440" w:lineRule="exact"/>
        <w:ind w:firstLine="360" w:firstLineChars="150"/>
        <w:rPr>
          <w:rFonts w:ascii="宋体" w:hAnsi="宋体"/>
          <w:color w:val="1E1C11" w:themeColor="background2" w:themeShade="1A"/>
          <w:sz w:val="24"/>
        </w:rPr>
      </w:pPr>
      <w:r>
        <w:rPr>
          <w:rFonts w:hint="eastAsia" w:ascii="宋体" w:hAnsi="宋体"/>
          <w:color w:val="1E1C11" w:themeColor="background2" w:themeShade="1A"/>
          <w:sz w:val="24"/>
        </w:rPr>
        <w:t>（一）学生不能修读与主修专业相近的辅修专业。所修辅修专业应与主修专业或主修专业方向在人才培养方案中的课程设置上有明显区别。</w:t>
      </w:r>
    </w:p>
    <w:p>
      <w:pPr>
        <w:spacing w:line="440" w:lineRule="exact"/>
        <w:ind w:firstLine="360" w:firstLineChars="150"/>
        <w:rPr>
          <w:rFonts w:ascii="宋体" w:hAnsi="宋体"/>
          <w:color w:val="1E1C11" w:themeColor="background2" w:themeShade="1A"/>
          <w:sz w:val="24"/>
        </w:rPr>
      </w:pPr>
      <w:r>
        <w:rPr>
          <w:rFonts w:hint="eastAsia" w:ascii="宋体" w:hAnsi="宋体"/>
          <w:color w:val="1E1C11" w:themeColor="background2" w:themeShade="1A"/>
          <w:sz w:val="24"/>
        </w:rPr>
        <w:t>（二）每位学生只能修读一个辅修专业。</w:t>
      </w:r>
    </w:p>
    <w:p>
      <w:pPr>
        <w:spacing w:line="440" w:lineRule="exact"/>
        <w:ind w:firstLine="482" w:firstLineChars="200"/>
        <w:rPr>
          <w:rFonts w:ascii="宋体" w:hAnsi="宋体"/>
          <w:b/>
          <w:color w:val="1E1C11" w:themeColor="background2" w:themeShade="1A"/>
          <w:sz w:val="24"/>
        </w:rPr>
      </w:pPr>
      <w:r>
        <w:rPr>
          <w:rFonts w:hint="eastAsia" w:ascii="宋体" w:hAnsi="宋体"/>
          <w:b/>
          <w:color w:val="1E1C11" w:themeColor="background2" w:themeShade="1A"/>
          <w:sz w:val="24"/>
        </w:rPr>
        <w:t>六、缴费需知</w:t>
      </w:r>
    </w:p>
    <w:p>
      <w:pPr>
        <w:spacing w:line="440" w:lineRule="exact"/>
        <w:ind w:firstLine="360" w:firstLineChars="150"/>
        <w:rPr>
          <w:rFonts w:ascii="宋体" w:hAnsi="宋体"/>
          <w:color w:val="1E1C11" w:themeColor="background2" w:themeShade="1A"/>
          <w:sz w:val="24"/>
        </w:rPr>
      </w:pPr>
      <w:r>
        <w:rPr>
          <w:rFonts w:hint="eastAsia" w:ascii="宋体" w:hAnsi="宋体"/>
          <w:color w:val="1E1C11" w:themeColor="background2" w:themeShade="1A"/>
          <w:sz w:val="24"/>
        </w:rPr>
        <w:t>（一）按外语类专业每学分250元、非外语类专业每学分200元的标准收取辅修专业的学费。</w:t>
      </w:r>
    </w:p>
    <w:p>
      <w:pPr>
        <w:spacing w:line="440" w:lineRule="exact"/>
        <w:ind w:firstLine="360" w:firstLineChars="150"/>
        <w:rPr>
          <w:rFonts w:ascii="宋体" w:hAnsi="宋体"/>
          <w:color w:val="1E1C11" w:themeColor="background2" w:themeShade="1A"/>
          <w:sz w:val="24"/>
        </w:rPr>
      </w:pPr>
      <w:r>
        <w:rPr>
          <w:rFonts w:hint="eastAsia" w:ascii="宋体" w:hAnsi="宋体"/>
          <w:color w:val="1E1C11" w:themeColor="background2" w:themeShade="1A"/>
          <w:sz w:val="24"/>
        </w:rPr>
        <w:t>（二）取得修读辅修专业资格的学生，交费应在辅修专业开设单位公布名单后一周内携带学生证到财务处缴纳辅修专业学费，凭缴费单到辅修专业开设教学单位注册并取得辅修专业学籍。</w:t>
      </w:r>
    </w:p>
    <w:p>
      <w:pPr>
        <w:spacing w:line="440" w:lineRule="exact"/>
        <w:ind w:firstLine="360" w:firstLineChars="150"/>
        <w:rPr>
          <w:rFonts w:ascii="宋体" w:hAnsi="宋体"/>
          <w:color w:val="1E1C11" w:themeColor="background2" w:themeShade="1A"/>
          <w:sz w:val="24"/>
        </w:rPr>
      </w:pPr>
      <w:r>
        <w:rPr>
          <w:rFonts w:hint="eastAsia" w:ascii="宋体" w:hAnsi="宋体"/>
          <w:color w:val="1E1C11" w:themeColor="background2" w:themeShade="1A"/>
          <w:sz w:val="24"/>
        </w:rPr>
        <w:t xml:space="preserve">（三）逾期不办理辅修专业缴费和注册的学生,将取消其修读辅修专业资格，注销其辅修专业学籍。     </w:t>
      </w:r>
    </w:p>
    <w:p>
      <w:pPr>
        <w:spacing w:line="440" w:lineRule="exact"/>
        <w:ind w:firstLine="240" w:firstLineChars="100"/>
        <w:rPr>
          <w:rFonts w:ascii="宋体" w:hAnsi="宋体"/>
          <w:color w:val="1E1C11" w:themeColor="background2" w:themeShade="1A"/>
          <w:sz w:val="24"/>
        </w:rPr>
      </w:pPr>
      <w:r>
        <w:rPr>
          <w:rFonts w:hint="eastAsia" w:ascii="宋体" w:hAnsi="宋体"/>
          <w:color w:val="1E1C11" w:themeColor="background2" w:themeShade="1A"/>
          <w:sz w:val="24"/>
        </w:rPr>
        <w:t>教务处联系人：</w:t>
      </w:r>
      <w:r>
        <w:rPr>
          <w:rFonts w:hint="eastAsia" w:ascii="宋体" w:hAnsi="宋体"/>
          <w:color w:val="1E1C11" w:themeColor="background2" w:themeShade="1A"/>
          <w:sz w:val="24"/>
          <w:lang w:eastAsia="zh-CN"/>
        </w:rPr>
        <w:t>刘茗雪</w:t>
      </w:r>
      <w:r>
        <w:rPr>
          <w:rFonts w:hint="eastAsia" w:ascii="宋体" w:hAnsi="宋体"/>
          <w:color w:val="1E1C11" w:themeColor="background2" w:themeShade="1A"/>
          <w:sz w:val="24"/>
        </w:rPr>
        <w:t>老师             联系电话:22245806</w:t>
      </w:r>
    </w:p>
    <w:p>
      <w:pPr>
        <w:spacing w:line="440" w:lineRule="exact"/>
        <w:jc w:val="left"/>
        <w:rPr>
          <w:rFonts w:ascii="宋体" w:hAnsi="宋体"/>
          <w:color w:val="1E1C11" w:themeColor="background2" w:themeShade="1A"/>
          <w:sz w:val="24"/>
        </w:rPr>
      </w:pPr>
    </w:p>
    <w:p>
      <w:pPr>
        <w:spacing w:line="440" w:lineRule="exact"/>
        <w:ind w:firstLine="120" w:firstLineChars="50"/>
        <w:jc w:val="left"/>
        <w:rPr>
          <w:color w:val="1E1C11" w:themeColor="background2" w:themeShade="1A"/>
          <w:sz w:val="24"/>
        </w:rPr>
      </w:pPr>
      <w:r>
        <w:rPr>
          <w:rFonts w:hint="eastAsia" w:ascii="宋体" w:hAnsi="宋体"/>
          <w:color w:val="1E1C11" w:themeColor="background2" w:themeShade="1A"/>
          <w:sz w:val="24"/>
        </w:rPr>
        <w:t>附：1.2019-2020学</w:t>
      </w:r>
      <w:r>
        <w:rPr>
          <w:rFonts w:hint="eastAsia"/>
          <w:color w:val="1E1C11" w:themeColor="background2" w:themeShade="1A"/>
          <w:sz w:val="24"/>
        </w:rPr>
        <w:t>年第</w:t>
      </w:r>
      <w:r>
        <w:rPr>
          <w:rFonts w:hint="eastAsia"/>
          <w:color w:val="1E1C11" w:themeColor="background2" w:themeShade="1A"/>
          <w:sz w:val="24"/>
          <w:lang w:eastAsia="zh-CN"/>
        </w:rPr>
        <w:t>二</w:t>
      </w:r>
      <w:r>
        <w:rPr>
          <w:rFonts w:hint="eastAsia"/>
          <w:color w:val="1E1C11" w:themeColor="background2" w:themeShade="1A"/>
          <w:sz w:val="24"/>
        </w:rPr>
        <w:t>学期拟开设辅修专业招生计划信息表</w:t>
      </w:r>
    </w:p>
    <w:p>
      <w:pPr>
        <w:spacing w:line="440" w:lineRule="exact"/>
        <w:ind w:firstLine="600" w:firstLineChars="250"/>
        <w:jc w:val="left"/>
        <w:rPr>
          <w:rFonts w:ascii="宋体" w:hAnsi="宋体"/>
          <w:color w:val="1E1C11" w:themeColor="background2" w:themeShade="1A"/>
          <w:sz w:val="24"/>
        </w:rPr>
      </w:pPr>
      <w:r>
        <w:rPr>
          <w:rFonts w:hint="eastAsia" w:ascii="宋体" w:hAnsi="宋体"/>
          <w:color w:val="1E1C11" w:themeColor="background2" w:themeShade="1A"/>
          <w:sz w:val="24"/>
        </w:rPr>
        <w:t>2.广东外语外贸大学南国商学院辅修专业修读申请表</w:t>
      </w:r>
    </w:p>
    <w:p>
      <w:pPr>
        <w:spacing w:line="440" w:lineRule="exact"/>
        <w:ind w:firstLine="600" w:firstLineChars="250"/>
        <w:jc w:val="left"/>
        <w:rPr>
          <w:rFonts w:ascii="宋体" w:hAnsi="宋体"/>
          <w:color w:val="1E1C11" w:themeColor="background2" w:themeShade="1A"/>
          <w:sz w:val="24"/>
        </w:rPr>
      </w:pPr>
      <w:r>
        <w:rPr>
          <w:rFonts w:hint="eastAsia" w:ascii="宋体" w:hAnsi="宋体"/>
          <w:color w:val="1E1C11" w:themeColor="background2" w:themeShade="1A"/>
          <w:sz w:val="24"/>
        </w:rPr>
        <w:t>3.2019-2020学年第</w:t>
      </w:r>
      <w:r>
        <w:rPr>
          <w:rFonts w:hint="eastAsia" w:ascii="宋体" w:hAnsi="宋体"/>
          <w:color w:val="1E1C11" w:themeColor="background2" w:themeShade="1A"/>
          <w:sz w:val="24"/>
          <w:lang w:eastAsia="zh-CN"/>
        </w:rPr>
        <w:t>二</w:t>
      </w:r>
      <w:r>
        <w:rPr>
          <w:rFonts w:hint="eastAsia" w:ascii="宋体" w:hAnsi="宋体"/>
          <w:color w:val="1E1C11" w:themeColor="background2" w:themeShade="1A"/>
          <w:sz w:val="24"/>
        </w:rPr>
        <w:t>学期拟开设辅修专业办学条件及师资简况表</w:t>
      </w:r>
    </w:p>
    <w:p>
      <w:pPr>
        <w:spacing w:line="440" w:lineRule="exact"/>
        <w:ind w:firstLine="600" w:firstLineChars="250"/>
        <w:jc w:val="left"/>
        <w:rPr>
          <w:rFonts w:ascii="宋体" w:hAnsi="宋体"/>
          <w:color w:val="1E1C11" w:themeColor="background2" w:themeShade="1A"/>
          <w:sz w:val="24"/>
        </w:rPr>
      </w:pPr>
      <w:r>
        <w:rPr>
          <w:rFonts w:hint="eastAsia" w:ascii="宋体" w:hAnsi="宋体"/>
          <w:color w:val="1E1C11" w:themeColor="background2" w:themeShade="1A"/>
          <w:sz w:val="24"/>
        </w:rPr>
        <w:t>4.2019-2020学年第</w:t>
      </w:r>
      <w:r>
        <w:rPr>
          <w:rFonts w:hint="eastAsia" w:ascii="宋体" w:hAnsi="宋体"/>
          <w:color w:val="1E1C11" w:themeColor="background2" w:themeShade="1A"/>
          <w:sz w:val="24"/>
          <w:lang w:eastAsia="zh-CN"/>
        </w:rPr>
        <w:t>二</w:t>
      </w:r>
      <w:r>
        <w:rPr>
          <w:rFonts w:hint="eastAsia" w:ascii="宋体" w:hAnsi="宋体"/>
          <w:color w:val="1E1C11" w:themeColor="background2" w:themeShade="1A"/>
          <w:sz w:val="24"/>
        </w:rPr>
        <w:t>学期拟开设辅修专业人才培养方案</w:t>
      </w:r>
    </w:p>
    <w:p>
      <w:pPr>
        <w:spacing w:line="440" w:lineRule="exact"/>
        <w:ind w:firstLine="420" w:firstLineChars="200"/>
        <w:rPr>
          <w:rFonts w:ascii="宋体" w:hAnsi="宋体"/>
          <w:color w:val="1E1C11" w:themeColor="background2" w:themeShade="1A"/>
          <w:szCs w:val="21"/>
        </w:rPr>
      </w:pPr>
    </w:p>
    <w:p>
      <w:pPr>
        <w:pStyle w:val="2"/>
        <w:snapToGrid w:val="0"/>
        <w:spacing w:before="0" w:beforeAutospacing="0" w:after="0" w:afterAutospacing="0" w:line="440" w:lineRule="exact"/>
        <w:ind w:firstLine="480"/>
        <w:jc w:val="center"/>
        <w:rPr>
          <w:color w:val="1E1C11" w:themeColor="background2" w:themeShade="1A"/>
          <w:szCs w:val="21"/>
        </w:rPr>
      </w:pPr>
      <w:r>
        <w:rPr>
          <w:rFonts w:hint="eastAsia"/>
          <w:color w:val="1E1C11" w:themeColor="background2" w:themeShade="1A"/>
          <w:szCs w:val="21"/>
        </w:rPr>
        <w:t xml:space="preserve">                                     </w:t>
      </w:r>
    </w:p>
    <w:p>
      <w:pPr>
        <w:pStyle w:val="2"/>
        <w:snapToGrid w:val="0"/>
        <w:spacing w:before="0" w:beforeAutospacing="0" w:after="0" w:afterAutospacing="0" w:line="440" w:lineRule="exact"/>
        <w:ind w:firstLine="480"/>
        <w:jc w:val="center"/>
        <w:rPr>
          <w:rFonts w:ascii="Verdana" w:hAnsi="Verdana"/>
          <w:color w:val="1E1C11" w:themeColor="background2" w:themeShade="1A"/>
        </w:rPr>
      </w:pPr>
      <w:r>
        <w:rPr>
          <w:rFonts w:hint="eastAsia"/>
          <w:color w:val="1E1C11" w:themeColor="background2" w:themeShade="1A"/>
          <w:szCs w:val="21"/>
        </w:rPr>
        <w:t xml:space="preserve">                                           </w:t>
      </w:r>
      <w:r>
        <w:rPr>
          <w:rFonts w:ascii="Verdana" w:hAnsi="Verdana" w:cs="Arial"/>
          <w:b w:val="0"/>
          <w:color w:val="1E1C11" w:themeColor="background2" w:themeShade="1A"/>
          <w:sz w:val="24"/>
          <w:szCs w:val="24"/>
        </w:rPr>
        <w:t>广东外语外贸大学南国商学院 教务处</w:t>
      </w:r>
    </w:p>
    <w:p>
      <w:pPr>
        <w:pStyle w:val="2"/>
        <w:snapToGrid w:val="0"/>
        <w:spacing w:before="0" w:beforeAutospacing="0" w:after="0" w:afterAutospacing="0" w:line="440" w:lineRule="exact"/>
        <w:ind w:firstLine="480"/>
        <w:jc w:val="center"/>
        <w:rPr>
          <w:rFonts w:ascii="Verdana" w:hAnsi="Verdana"/>
          <w:color w:val="1E1C11" w:themeColor="background2" w:themeShade="1A"/>
        </w:rPr>
      </w:pPr>
      <w:r>
        <w:rPr>
          <w:rFonts w:hint="eastAsia" w:ascii="Verdana" w:hAnsi="Verdana" w:cs="Arial"/>
          <w:b w:val="0"/>
          <w:color w:val="1E1C11" w:themeColor="background2" w:themeShade="1A"/>
          <w:sz w:val="24"/>
          <w:szCs w:val="24"/>
        </w:rPr>
        <w:t xml:space="preserve">                                          </w:t>
      </w:r>
      <w:r>
        <w:rPr>
          <w:rFonts w:ascii="Verdana" w:hAnsi="Verdana" w:cs="Arial"/>
          <w:b w:val="0"/>
          <w:color w:val="1E1C11" w:themeColor="background2" w:themeShade="1A"/>
          <w:sz w:val="24"/>
          <w:szCs w:val="24"/>
        </w:rPr>
        <w:t>二〇一</w:t>
      </w:r>
      <w:r>
        <w:rPr>
          <w:rFonts w:hint="eastAsia" w:ascii="Verdana" w:hAnsi="Verdana" w:cs="Arial"/>
          <w:b w:val="0"/>
          <w:color w:val="1E1C11" w:themeColor="background2" w:themeShade="1A"/>
          <w:sz w:val="24"/>
          <w:szCs w:val="24"/>
        </w:rPr>
        <w:t>九</w:t>
      </w:r>
      <w:r>
        <w:rPr>
          <w:rFonts w:ascii="Verdana" w:hAnsi="Verdana" w:cs="Arial"/>
          <w:b w:val="0"/>
          <w:color w:val="1E1C11" w:themeColor="background2" w:themeShade="1A"/>
          <w:sz w:val="24"/>
          <w:szCs w:val="24"/>
        </w:rPr>
        <w:t>年</w:t>
      </w:r>
      <w:r>
        <w:rPr>
          <w:rFonts w:hint="eastAsia" w:ascii="Verdana" w:hAnsi="Verdana" w:cs="Arial"/>
          <w:b w:val="0"/>
          <w:color w:val="1E1C11" w:themeColor="background2" w:themeShade="1A"/>
          <w:sz w:val="24"/>
          <w:szCs w:val="24"/>
          <w:lang w:eastAsia="zh-CN"/>
        </w:rPr>
        <w:t>十一</w:t>
      </w:r>
      <w:r>
        <w:rPr>
          <w:rFonts w:ascii="Verdana" w:hAnsi="Verdana" w:cs="Arial"/>
          <w:b w:val="0"/>
          <w:color w:val="1E1C11" w:themeColor="background2" w:themeShade="1A"/>
          <w:sz w:val="24"/>
          <w:szCs w:val="24"/>
        </w:rPr>
        <w:t>月</w:t>
      </w:r>
      <w:r>
        <w:rPr>
          <w:rFonts w:hint="eastAsia" w:ascii="Verdana" w:hAnsi="Verdana" w:cs="Arial"/>
          <w:b w:val="0"/>
          <w:color w:val="1E1C11" w:themeColor="background2" w:themeShade="1A"/>
          <w:sz w:val="24"/>
          <w:szCs w:val="24"/>
          <w:lang w:eastAsia="zh-CN"/>
        </w:rPr>
        <w:t>二十</w:t>
      </w:r>
      <w:r>
        <w:rPr>
          <w:rFonts w:ascii="Verdana" w:hAnsi="Verdana" w:cs="Arial"/>
          <w:b w:val="0"/>
          <w:color w:val="1E1C11" w:themeColor="background2" w:themeShade="1A"/>
          <w:sz w:val="24"/>
          <w:szCs w:val="24"/>
        </w:rPr>
        <w:t>日</w:t>
      </w:r>
    </w:p>
    <w:p>
      <w:pPr>
        <w:spacing w:line="440" w:lineRule="exact"/>
        <w:ind w:firstLine="420" w:firstLineChars="200"/>
        <w:rPr>
          <w:rFonts w:ascii="宋体" w:hAnsi="宋体"/>
          <w:color w:val="1E1C11" w:themeColor="background2" w:themeShade="1A"/>
          <w:szCs w:val="21"/>
        </w:rPr>
      </w:pPr>
      <w:r>
        <w:rPr>
          <w:rFonts w:hint="eastAsia" w:ascii="宋体" w:hAnsi="宋体"/>
          <w:color w:val="1E1C11" w:themeColor="background2" w:themeShade="1A"/>
          <w:szCs w:val="21"/>
        </w:rPr>
        <w:t xml:space="preserve"> </w:t>
      </w:r>
    </w:p>
    <w:p>
      <w:pPr>
        <w:spacing w:line="440" w:lineRule="exact"/>
        <w:ind w:firstLine="420" w:firstLineChars="200"/>
        <w:rPr>
          <w:rFonts w:ascii="宋体" w:hAnsi="宋体"/>
          <w:szCs w:val="21"/>
        </w:rPr>
      </w:pPr>
    </w:p>
    <w:p>
      <w:pPr>
        <w:spacing w:line="440" w:lineRule="exact"/>
        <w:ind w:left="435"/>
        <w:rPr>
          <w:szCs w:val="21"/>
        </w:rPr>
      </w:pPr>
    </w:p>
    <w:p>
      <w:pPr>
        <w:spacing w:line="440" w:lineRule="exact"/>
        <w:ind w:left="435"/>
        <w:rPr>
          <w:szCs w:val="21"/>
        </w:rPr>
      </w:pPr>
    </w:p>
    <w:p>
      <w:pPr>
        <w:ind w:left="435"/>
        <w:rPr>
          <w:szCs w:val="21"/>
        </w:rPr>
      </w:pPr>
    </w:p>
    <w:p>
      <w:pPr>
        <w:ind w:left="435"/>
        <w:rPr>
          <w:szCs w:val="21"/>
        </w:rPr>
      </w:pPr>
    </w:p>
    <w:p>
      <w:pPr>
        <w:rPr>
          <w:szCs w:val="21"/>
        </w:rPr>
      </w:pPr>
    </w:p>
    <w:p/>
    <w:sectPr>
      <w:pgSz w:w="11906" w:h="16838"/>
      <w:pgMar w:top="1304" w:right="1134" w:bottom="130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30F98"/>
    <w:rsid w:val="000002FA"/>
    <w:rsid w:val="00006624"/>
    <w:rsid w:val="000631B2"/>
    <w:rsid w:val="000A3F8D"/>
    <w:rsid w:val="000A49F9"/>
    <w:rsid w:val="000C17A0"/>
    <w:rsid w:val="00110204"/>
    <w:rsid w:val="00132AC6"/>
    <w:rsid w:val="00150B61"/>
    <w:rsid w:val="0016109B"/>
    <w:rsid w:val="001B795A"/>
    <w:rsid w:val="001D1A50"/>
    <w:rsid w:val="002828BE"/>
    <w:rsid w:val="00290933"/>
    <w:rsid w:val="00311C01"/>
    <w:rsid w:val="0032103C"/>
    <w:rsid w:val="003317A8"/>
    <w:rsid w:val="003B7E9D"/>
    <w:rsid w:val="00487186"/>
    <w:rsid w:val="004A1195"/>
    <w:rsid w:val="004A65A6"/>
    <w:rsid w:val="004B3918"/>
    <w:rsid w:val="005879FB"/>
    <w:rsid w:val="005A25E4"/>
    <w:rsid w:val="005A350F"/>
    <w:rsid w:val="005B2DAD"/>
    <w:rsid w:val="005E3C4B"/>
    <w:rsid w:val="006707E4"/>
    <w:rsid w:val="006A2BE2"/>
    <w:rsid w:val="006A5EF6"/>
    <w:rsid w:val="006C480F"/>
    <w:rsid w:val="006D6978"/>
    <w:rsid w:val="006F169A"/>
    <w:rsid w:val="00710C4F"/>
    <w:rsid w:val="00742622"/>
    <w:rsid w:val="00745561"/>
    <w:rsid w:val="0079338A"/>
    <w:rsid w:val="007A153F"/>
    <w:rsid w:val="007B62BC"/>
    <w:rsid w:val="00815780"/>
    <w:rsid w:val="00830F98"/>
    <w:rsid w:val="00842FE4"/>
    <w:rsid w:val="00875A9B"/>
    <w:rsid w:val="008B1EEB"/>
    <w:rsid w:val="008B7334"/>
    <w:rsid w:val="009021B8"/>
    <w:rsid w:val="009320E1"/>
    <w:rsid w:val="00952487"/>
    <w:rsid w:val="009A5761"/>
    <w:rsid w:val="009B6473"/>
    <w:rsid w:val="009C3E68"/>
    <w:rsid w:val="009D4983"/>
    <w:rsid w:val="009E5A9B"/>
    <w:rsid w:val="00A2655D"/>
    <w:rsid w:val="00A64A26"/>
    <w:rsid w:val="00A83C03"/>
    <w:rsid w:val="00AC0E00"/>
    <w:rsid w:val="00AE39F3"/>
    <w:rsid w:val="00AF157F"/>
    <w:rsid w:val="00B30D42"/>
    <w:rsid w:val="00B526F8"/>
    <w:rsid w:val="00B62275"/>
    <w:rsid w:val="00B76CDD"/>
    <w:rsid w:val="00B81C99"/>
    <w:rsid w:val="00B90414"/>
    <w:rsid w:val="00BA05C8"/>
    <w:rsid w:val="00BC0F5F"/>
    <w:rsid w:val="00BD2DD5"/>
    <w:rsid w:val="00BD398F"/>
    <w:rsid w:val="00BF2D00"/>
    <w:rsid w:val="00C62AA4"/>
    <w:rsid w:val="00C9540A"/>
    <w:rsid w:val="00D639C5"/>
    <w:rsid w:val="00D84A2A"/>
    <w:rsid w:val="00DA1F1A"/>
    <w:rsid w:val="00DC5952"/>
    <w:rsid w:val="00DD03CF"/>
    <w:rsid w:val="00E016E9"/>
    <w:rsid w:val="00E1038B"/>
    <w:rsid w:val="00E143FD"/>
    <w:rsid w:val="00E41092"/>
    <w:rsid w:val="00EA1F6C"/>
    <w:rsid w:val="00F143CF"/>
    <w:rsid w:val="00F208F3"/>
    <w:rsid w:val="00F25033"/>
    <w:rsid w:val="00F40878"/>
    <w:rsid w:val="00FE7318"/>
    <w:rsid w:val="0ADB3B99"/>
    <w:rsid w:val="0DF75CA4"/>
    <w:rsid w:val="0EE675DC"/>
    <w:rsid w:val="0F9206AF"/>
    <w:rsid w:val="17D231C7"/>
    <w:rsid w:val="1C742B8F"/>
    <w:rsid w:val="20C418C6"/>
    <w:rsid w:val="2DD11DA6"/>
    <w:rsid w:val="2EA13188"/>
    <w:rsid w:val="3ACE21FC"/>
    <w:rsid w:val="42CC191C"/>
    <w:rsid w:val="4A322F11"/>
    <w:rsid w:val="61296ADF"/>
    <w:rsid w:val="669304C8"/>
    <w:rsid w:val="68E40B82"/>
    <w:rsid w:val="78C55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8"/>
    <w:qFormat/>
    <w:uiPriority w:val="0"/>
    <w:pPr>
      <w:widowControl/>
      <w:spacing w:before="100" w:beforeAutospacing="1" w:after="100" w:afterAutospacing="1"/>
      <w:jc w:val="left"/>
      <w:outlineLvl w:val="4"/>
    </w:pPr>
    <w:rPr>
      <w:rFonts w:ascii="宋体" w:hAnsi="宋体" w:cs="宋体"/>
      <w:b/>
      <w:bCs/>
      <w:kern w:val="0"/>
      <w:sz w:val="20"/>
      <w:szCs w:val="2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9"/>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5 Char"/>
    <w:basedOn w:val="7"/>
    <w:link w:val="2"/>
    <w:qFormat/>
    <w:uiPriority w:val="0"/>
    <w:rPr>
      <w:rFonts w:ascii="宋体" w:hAnsi="宋体" w:eastAsia="宋体" w:cs="宋体"/>
      <w:b/>
      <w:bCs/>
      <w:kern w:val="0"/>
      <w:sz w:val="20"/>
      <w:szCs w:val="20"/>
    </w:rPr>
  </w:style>
  <w:style w:type="character" w:customStyle="1" w:styleId="9">
    <w:name w:val="批注框文本 Char"/>
    <w:basedOn w:val="7"/>
    <w:link w:val="3"/>
    <w:semiHidden/>
    <w:qFormat/>
    <w:uiPriority w:val="99"/>
    <w:rPr>
      <w:rFonts w:ascii="Times New Roman" w:hAnsi="Times New Roman" w:eastAsia="宋体" w:cs="Times New Roman"/>
      <w:sz w:val="18"/>
      <w:szCs w:val="18"/>
    </w:rPr>
  </w:style>
  <w:style w:type="character" w:customStyle="1" w:styleId="10">
    <w:name w:val="页眉 Char"/>
    <w:basedOn w:val="7"/>
    <w:link w:val="5"/>
    <w:qFormat/>
    <w:uiPriority w:val="99"/>
    <w:rPr>
      <w:rFonts w:ascii="Times New Roman" w:hAnsi="Times New Roman" w:eastAsia="宋体" w:cs="Times New Roman"/>
      <w:kern w:val="2"/>
      <w:sz w:val="18"/>
      <w:szCs w:val="18"/>
    </w:rPr>
  </w:style>
  <w:style w:type="character" w:customStyle="1" w:styleId="11">
    <w:name w:val="页脚 Char"/>
    <w:basedOn w:val="7"/>
    <w:link w:val="4"/>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99C85D-C745-4A45-A308-84595EF760E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161</Words>
  <Characters>920</Characters>
  <Lines>7</Lines>
  <Paragraphs>2</Paragraphs>
  <TotalTime>9</TotalTime>
  <ScaleCrop>false</ScaleCrop>
  <LinksUpToDate>false</LinksUpToDate>
  <CharactersWithSpaces>1079</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2016-06-13T06:42:00Z</dcterms:created>
  <dc:creator>微软用户</dc:creator>
  <cp:lastModifiedBy>18826451075</cp:lastModifiedBy>
  <cp:lastPrinted>2016-11-29T01:35:00Z</cp:lastPrinted>
  <dcterms:modified xsi:type="dcterms:W3CDTF">2019-11-20T08:37:41Z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