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  <w:szCs w:val="24"/>
        </w:rPr>
      </w:pPr>
    </w:p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广东省省</w:t>
      </w:r>
      <w:bookmarkStart w:id="0" w:name="_GoBack"/>
      <w:r>
        <w:rPr>
          <w:rFonts w:hint="eastAsia" w:ascii="仿宋_GB2312" w:eastAsia="仿宋_GB2312"/>
          <w:b/>
          <w:sz w:val="30"/>
          <w:szCs w:val="30"/>
        </w:rPr>
        <w:t>实验教学示范中心</w:t>
      </w:r>
      <w:bookmarkEnd w:id="0"/>
      <w:r>
        <w:rPr>
          <w:rFonts w:hint="eastAsia" w:ascii="仿宋_GB2312" w:eastAsia="仿宋_GB2312"/>
          <w:b/>
          <w:sz w:val="30"/>
          <w:szCs w:val="30"/>
        </w:rPr>
        <w:t>验收评审指标体系（试行）</w:t>
      </w:r>
    </w:p>
    <w:tbl>
      <w:tblPr>
        <w:tblStyle w:val="6"/>
        <w:tblW w:w="15022" w:type="dxa"/>
        <w:jc w:val="center"/>
        <w:tblInd w:w="-3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199"/>
        <w:gridCol w:w="10412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tblHeader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41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指标内涵及相关主要观测点</w:t>
            </w:r>
          </w:p>
        </w:tc>
        <w:tc>
          <w:tcPr>
            <w:tcW w:w="2306" w:type="dxa"/>
            <w:tcBorders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实验教学（30分）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教学体系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立与理论教学有机结合,以能力培养为核心,分层次的实验教学体系，涵盖基本型实验、综合设计型实验、研究创新型实验等；教学内容注重传统与现代的结合，与科研、工程和社会应用实践密切联系,融入科技创新和实验教学改革成果；有自编实验教材，且水平较高。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教学方法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重视实验技术研究，实验项目选择、实验方案设计有利于启发学生科学思维和创新意识；改进实验教学方法，建立以学生为中心的实验教学模式，形成以自主式、合作式、研究式为主的学习方式；实验教学手段先进，引入现代技术，融合多种方式辅助实验教学；建立多元实验考核方法，统筹考核实验过程与实验结果，激发学生实验兴趣，提高实验能力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教学效果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覆盖面广，实验开出率高，教学效果好，学生实验兴趣浓厚，对实验教学评价总体优良；学生实验基本技能宽厚扎实，实践创新能力强，实验创新成果多，学生有正式发表的论文或省部级以上竞赛奖等；实验教学成果丰富，正式发表的高水平实验教学论文多，承担省部级以上教学改革项目，成果突出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教学队伍（20分）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制度建设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学校重视实验教学队伍建设，规划科学；政策措施得力，能引导和激励高水平教师积极投入实验教学；实验教学队伍培养培训制度健全落实，富有成效。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队伍状况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教学中心负责人学术水平高，具有高级职称，教学科研实践经验丰富，热爱实验教学，管理能力强；实验教学队伍结构合理，与理论教学人员互通，骨干力量相对稳定，保持动态平衡；实验教学队伍教学科研创新能力强，实验教学水平高，积极参加教学改革、科学研究、社会服务、国际交流；实验教学队伍教风优良，治学严谨，勇于探索和创新。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设备与环境（30分）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信息平台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建成网络化实验教学和实验室管理信息平台；具有丰富的网络实验教学资源；实现网上辅助教学和网络化、智能化管理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运行机制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实验教学开放运行，保障措施落实得力，中心运行良好；管理制度规范化、人性化，以学生为本；实验教学评价办法科学合理，鼓励教师积极投入和改革创新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  <w:jc w:val="center"/>
        </w:trPr>
        <w:tc>
          <w:tcPr>
            <w:tcW w:w="1105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场地和仪器设备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心实验场地充足，实验室面积、空间、布局科学合理。实验仪器品质精良，组合优化，配置合理，数量充足，满足现代实验教学要求；仪器设备使用效益高；改进、自制仪器设备有特色、教学效果好；仪器设备管理制度健全落实；设备与环境维护措施得力，设备完好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1105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经费投入情况（10分）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经费投入</w:t>
            </w:r>
          </w:p>
        </w:tc>
        <w:tc>
          <w:tcPr>
            <w:tcW w:w="10412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实验教学运行经费投入制度化；仪器设备维护经费足额到位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基本情况（10分）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建设任务完成情况</w:t>
            </w:r>
          </w:p>
        </w:tc>
        <w:tc>
          <w:tcPr>
            <w:tcW w:w="10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主要建设任务已基本完成；建设成果达到申报预期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271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总   分（可保留至一位小数）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1502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专家签名</w:t>
            </w: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：</w:t>
            </w:r>
          </w:p>
        </w:tc>
      </w:tr>
    </w:tbl>
    <w:p>
      <w:pPr>
        <w:rPr>
          <w:rFonts w:hint="eastAsia" w:ascii="仿宋_GB2312" w:eastAsia="仿宋_GB2312"/>
          <w:sz w:val="24"/>
          <w:szCs w:val="24"/>
          <w:lang w:val="en-US" w:eastAsia="zh-CN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1D97220A"/>
    <w:rsid w:val="21EF3AA2"/>
    <w:rsid w:val="52EC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2017-10-20T08:00:03Z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