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sz w:val="30"/>
          <w:szCs w:val="30"/>
        </w:rPr>
      </w:pPr>
      <w:r>
        <w:rPr>
          <w:sz w:val="30"/>
          <w:szCs w:val="30"/>
        </w:rPr>
        <w:t>关于开展202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sz w:val="30"/>
          <w:szCs w:val="30"/>
        </w:rPr>
        <w:t>年度立项的国家级、省级延期大学生创新创业训练计划项目结题验收工作的通知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各教学单位：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根据学校《大学生创新创业训练计划项目管理办法》（</w:t>
      </w: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fill="FFFFFF"/>
          <w:lang w:val="en-US" w:eastAsia="zh-CN" w:bidi="ar"/>
        </w:rPr>
        <w:t>南国〔2017〕258号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）、《关于做好2022年国家级立项大学生创新创业训练计划项目建设工作的通知》（</w:t>
      </w: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fill="FFFFFF"/>
          <w:lang w:val="en-US" w:eastAsia="zh-CN" w:bidi="ar"/>
        </w:rPr>
        <w:t>南国教〔2022〕39号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）（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见附件1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）及《关于做好2022年度省级立项大学生创新创业训练计划项目建设工作的通知》（</w:t>
      </w: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fill="FFFFFF"/>
          <w:lang w:val="en-US" w:eastAsia="zh-CN" w:bidi="ar"/>
        </w:rPr>
        <w:t>南国教〔2023〕6号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）（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见附件2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）有关要求，学校将开展2022年度立项的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国家级、省级延期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大学生创新创业训练计划项目（以下简称“大创”）结题验收工作。现将结题验收有关事项通知如下：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国家级、省级项目验收注重项目成果在实践中的检验和应用，立足于解决实际问题，结项时主要考察成果的实践应用效果。以论文类成果结项的，需注明该项目受XX资金资助，如“XX年广东省大学生创新创业训练计划项目”资助项目，“XX年广东外语外贸大学南国商学院大学生创新创业训练计划项目”资助项目；且学生需为第一作者，教师可为第二作者或注明为该项目指导教师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sz w:val="24"/>
          <w:szCs w:val="24"/>
        </w:rPr>
      </w:pP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一、2022年度立项的国家级、省级延期大创项目（详见附件3）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6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1.结题项目需提交材料（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上交材料时按此排序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6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（1）结题验收书（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附件4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6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（2）项目总结报告（3000字以上，格式要求见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附件5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（3）项目介绍（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附件6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6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（4）项目成果（对照《2022年度大学生创新创业训练计划项目结项（题）标准》&lt;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附件7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&gt;）。以论文结项,需提供论文公开发表刊物原件，并在刊物目录用红笔划出，论文题目等信息。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2.项目结项答辩安排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6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（1）需参加答辩的项目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6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本次结项的国家级项目必须参加现场答辩。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6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②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省级延期的项目均需做好现场答辩准备，5月24日当天现场抽取5项进行现场答辩。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（2）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答辩时间：2024年5月24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日下午14:00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   答辩地点：G301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（3）由项目负责人进行答辩汇报,须使用PPT进行展示，每个项目汇报时间为10分钟，含专家提问环节4分钟。如因特殊原因项目负责人无法参加答辩，由项目组成员或项目指导老师进行答辩。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（4）结题答辩包括以下内容：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default" w:ascii="Calibri" w:hAnsi="Calibri" w:eastAsia="宋体" w:cs="Calibri"/>
          <w:kern w:val="0"/>
          <w:sz w:val="24"/>
          <w:szCs w:val="24"/>
          <w:lang w:val="en-US" w:eastAsia="zh-CN" w:bidi="ar"/>
        </w:rPr>
        <w:t>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学生汇报本人承担的主要工作内容及取得的研究成果，项目成员在综合分析问题能力、解决问题能力，实践动手能力、创新能力的培养方面所取得的收获。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default" w:ascii="Calibri" w:hAnsi="Calibri" w:eastAsia="宋体" w:cs="Calibri"/>
          <w:kern w:val="0"/>
          <w:sz w:val="24"/>
          <w:szCs w:val="24"/>
          <w:lang w:val="en-US" w:eastAsia="zh-CN" w:bidi="ar"/>
        </w:rPr>
        <w:t>②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专家就与课题有关的基本理论和基本技能，研究论文、总结报告、现场汇报中存在的疑点、错误、应改进的方面以及其他与学生的独立工作能力相关的问题进行提问。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（5）项目评审：每个项目答辩结束后，各位专家根据指导教师的意见、材料审核意见、答辩情况对项目进行评分。项目鉴定结果分为优秀、良好、通过、不通过四个等级。</w:t>
      </w:r>
    </w:p>
    <w:tbl>
      <w:tblPr>
        <w:tblStyle w:val="5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2"/>
        <w:gridCol w:w="1416"/>
        <w:gridCol w:w="1488"/>
        <w:gridCol w:w="1440"/>
        <w:gridCol w:w="14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452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456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百分制</w:t>
            </w:r>
          </w:p>
        </w:tc>
        <w:tc>
          <w:tcPr>
            <w:tcW w:w="1416" w:type="dxa"/>
            <w:tcBorders>
              <w:top w:val="outset" w:color="000000" w:sz="4" w:space="0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168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100－90</w:t>
            </w:r>
          </w:p>
        </w:tc>
        <w:tc>
          <w:tcPr>
            <w:tcW w:w="1488" w:type="dxa"/>
            <w:tcBorders>
              <w:top w:val="outset" w:color="000000" w:sz="4" w:space="0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336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89－80</w:t>
            </w:r>
          </w:p>
        </w:tc>
        <w:tc>
          <w:tcPr>
            <w:tcW w:w="1440" w:type="dxa"/>
            <w:tcBorders>
              <w:top w:val="outset" w:color="000000" w:sz="4" w:space="0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336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79－60</w:t>
            </w:r>
          </w:p>
        </w:tc>
        <w:tc>
          <w:tcPr>
            <w:tcW w:w="1440" w:type="dxa"/>
            <w:tcBorders>
              <w:top w:val="outset" w:color="000000" w:sz="4" w:space="0"/>
              <w:left w:val="nil"/>
              <w:bottom w:val="outset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456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59－0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452" w:type="dxa"/>
            <w:tcBorders>
              <w:top w:val="nil"/>
              <w:left w:val="outset" w:color="000000" w:sz="4" w:space="0"/>
              <w:bottom w:val="single" w:color="000000" w:sz="4" w:space="0"/>
              <w:right w:val="outset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456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四等级</w:t>
            </w:r>
          </w:p>
        </w:tc>
        <w:tc>
          <w:tcPr>
            <w:tcW w:w="1416" w:type="dxa"/>
            <w:tcBorders>
              <w:top w:val="nil"/>
              <w:left w:val="single" w:color="000000" w:sz="4" w:space="0"/>
              <w:bottom w:val="single" w:color="000000" w:sz="4" w:space="0"/>
              <w:right w:val="outset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456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优秀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outset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456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良好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outset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456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通过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48" w:lineRule="atLeast"/>
              <w:ind w:left="0" w:right="0" w:firstLine="456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不通过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6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3.经费资助及使用：项目实行分阶段报销，立项完成可报销30%，中期检查完成可报销50%。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4.请项目指导教师指导项目组成员在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2024年5月20日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前完成相关材料的填写，电子版材料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文件夹统一命名为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“项目编号+项目名称”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（如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S202212620001 乡村振兴背景下民间非遗技艺的传承与发展路径研究——以高要花席为例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），纸质版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一式两份上交学院，一份学院留档，一份由学院统一于2024年5月20日前将电子版和纸质版一并提交教务处实践教学科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（行政楼212）。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940"/>
        <w:jc w:val="left"/>
        <w:rPr>
          <w:sz w:val="24"/>
          <w:szCs w:val="24"/>
        </w:rPr>
      </w:pP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二、国家级、省级延期项目专家评审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94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请各学院各推荐一名教师担任校内评审专家。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94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1.评审专家要求（须同时满足以下条件）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94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（1）具有副高以上职称或企业工作经验的本校专职讲师；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94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（2）有省级或国家级大学生创新创业训练计划项目指导经验。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94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（3）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各单位原则上不推荐已指导2023年国家级、省级延期大创项目的教师。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2.请各学院于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2024年5月16日前将评审专家名单提供给教务处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，电子版（命名为：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2024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年度“大创”项目校内评审专家推荐表-单位名称）（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附件9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）请发至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109046@gwng.edu.cn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邮箱，纸质版加盖公章后请交至教务处实践教学科（行政楼212室）。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   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三、所有材料均由教学单位统一报送，不受理个人递交。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（联系人：刘诗雯，刘茗雪；电话:22245806）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教务处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5" w:lineRule="atLeast"/>
        <w:ind w:left="0" w:right="0" w:firstLine="74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2024年4月24日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OTNjMDMzMWU5NTlmMmM1YTk4MTkxMWU4ZjA3N2MifQ=="/>
  </w:docVars>
  <w:rsids>
    <w:rsidRoot w:val="1FEDC6FD"/>
    <w:rsid w:val="06C67DE1"/>
    <w:rsid w:val="0A0A4D7F"/>
    <w:rsid w:val="0A5C6952"/>
    <w:rsid w:val="113F1D0A"/>
    <w:rsid w:val="15146666"/>
    <w:rsid w:val="15A80E8F"/>
    <w:rsid w:val="161A4565"/>
    <w:rsid w:val="188D3AAE"/>
    <w:rsid w:val="1FEDC6FD"/>
    <w:rsid w:val="293D4A42"/>
    <w:rsid w:val="45F54D58"/>
    <w:rsid w:val="46C3102F"/>
    <w:rsid w:val="4A5B099B"/>
    <w:rsid w:val="74DF17E6"/>
    <w:rsid w:val="75E64D58"/>
    <w:rsid w:val="76C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rPr>
      <w:sz w:val="24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2024-02-27T14:14:00Z</dcterms:created>
  <dc:creator>liuwen</dc:creator>
  <cp:lastModifiedBy>刘月亮</cp:lastModifiedBy>
  <dcterms:modified xsi:type="dcterms:W3CDTF">2024-04-27T01:31:43Z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C81695DD70C8410ECE7DDD655F1E260A_41</vt:lpwstr>
  </property>
</Properties>
</file>