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Theme="minorEastAsia" w:hAnsiTheme="minorEastAsia" w:cstheme="minorEastAsia"/>
          <w:b/>
          <w:szCs w:val="21"/>
        </w:rPr>
      </w:pPr>
    </w:p>
    <w:p>
      <w:pPr>
        <w:spacing w:line="440" w:lineRule="exact"/>
        <w:jc w:val="center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关于办理202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b/>
          <w:sz w:val="28"/>
          <w:szCs w:val="28"/>
        </w:rPr>
        <w:t>-202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学年第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学期课程重修的通知</w:t>
      </w:r>
    </w:p>
    <w:p>
      <w:pPr>
        <w:spacing w:line="42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各教学单位、班级：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70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根据本学期教学工作的安排，学校在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</w:rPr>
        <w:t>02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</w:rPr>
        <w:t>年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</w:rPr>
        <w:t>月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</w:rPr>
        <w:t>日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-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月</w:t>
      </w:r>
      <w:r>
        <w:rPr>
          <w:rFonts w:hint="eastAsia" w:asciiTheme="minorEastAsia" w:hAnsi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b/>
          <w:bCs/>
          <w:strike w:val="0"/>
          <w:dstrike w:val="0"/>
          <w:color w:val="auto"/>
          <w:sz w:val="24"/>
          <w:szCs w:val="24"/>
          <w:u w:val="single"/>
          <w:lang w:val="en-US" w:eastAsia="zh-CN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开展课程重修报名工作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重修办理条件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符合以下情况的学生可以办理重修本学期开设的课程，具体条件如下：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未办理缓考手续，缺考（旷考）的学生。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参加补（缓）考、重修后仍不合格的学生。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因考试作弊，成绩被认定为无效的学生。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在课程考试资格审核中被取消考试资格的学生。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学生确认重修课程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学生登录正方教务管理系统（链接：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"https://jwgl.gwng.edu.cn"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https://jwgl.gwng.edu.cn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），点击“信息查询”-“学生成绩查询”-学年选择“全部”-学期选择“全部”-点击“查询”-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查看成绩通过状态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“不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通过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color w:val="1F497D" w:themeColor="text2"/>
          <w:sz w:val="24"/>
          <w:szCs w:val="24"/>
          <w:highlight w:val="none"/>
          <w:lang w:val="en-US" w:eastAsia="zh-CN"/>
          <w14:textFill>
            <w14:solidFill>
              <w14:schemeClr w14:val="tx2"/>
            </w14:solidFill>
          </w14:textFill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（字体为红色），结合重修办理条件，参考《202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学期全校课程表（仅供参考）》（附件1），确认本学期需办理重修的课程。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、重修的形式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重修分为编班重修、跟班重修、在教师辅导下自学重修（以下简称自学重修）三种形式。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54" w:firstLineChars="147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编班重修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trike/>
          <w:dstrike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trike w:val="0"/>
          <w:dstrike w:val="0"/>
          <w:color w:val="auto"/>
          <w:sz w:val="24"/>
          <w:szCs w:val="24"/>
          <w:highlight w:val="none"/>
          <w:u w:val="none"/>
        </w:rPr>
        <w:t>编班重修仅限于重修通识教育必修课程及大学外语教育课程。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B05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本学期编班重修拟开设《微积分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》、《线性代数》、《概率论》、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高等数学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》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《大学英语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》、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《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第二外语：英语1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》、《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大学英语3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》、《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第二外语：英语3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》、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共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门课程，相关上课时间及任课教师等信息请参考《202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学年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学期编班重修拟开设课程安排》(附件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（二）跟班重修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B05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符合重修条件的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跟随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低年级相同课程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教学班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跟班修读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（三）自学重修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B05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因重修课程与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所在专业修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读课程上课时间冲突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或因参加毕业实习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或因结业生参加工作无法回校参加正常课堂教学活动的学生，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教师辅导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答疑的方式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进行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自学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重修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办理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时间</w:t>
      </w:r>
    </w:p>
    <w:tbl>
      <w:tblPr>
        <w:tblStyle w:val="6"/>
        <w:tblW w:w="9638" w:type="dxa"/>
        <w:tblInd w:w="2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2890"/>
        <w:gridCol w:w="1289"/>
        <w:gridCol w:w="4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431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报名批次</w:t>
            </w:r>
          </w:p>
        </w:tc>
        <w:tc>
          <w:tcPr>
            <w:tcW w:w="289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报名课程范围</w:t>
            </w:r>
          </w:p>
        </w:tc>
        <w:tc>
          <w:tcPr>
            <w:tcW w:w="1289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报名方式</w:t>
            </w:r>
          </w:p>
        </w:tc>
        <w:tc>
          <w:tcPr>
            <w:tcW w:w="4028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报名时间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143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第一批</w:t>
            </w:r>
          </w:p>
        </w:tc>
        <w:tc>
          <w:tcPr>
            <w:tcW w:w="289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本学期开设的2019、2020、2021级老生课程、编班重修课程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系统报名</w:t>
            </w:r>
          </w:p>
        </w:tc>
        <w:tc>
          <w:tcPr>
            <w:tcW w:w="40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日（周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一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）1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:00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日（周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五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143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8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填表报名</w:t>
            </w:r>
          </w:p>
        </w:tc>
        <w:tc>
          <w:tcPr>
            <w:tcW w:w="40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202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日（周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一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日（周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五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16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</w:rPr>
              <w:t>: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143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第二批</w:t>
            </w:r>
          </w:p>
        </w:tc>
        <w:tc>
          <w:tcPr>
            <w:tcW w:w="289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本学期开设的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2022级新生课程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系统报名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2022年9月19日（周一）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</w:rPr>
              <w:t>:00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至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9月23日（周五）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</w:rPr>
              <w:t>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43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28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填表报名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0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2022年9月19日（周一）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至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vertAlign w:val="baseline"/>
                <w:lang w:val="en-US" w:eastAsia="zh-CN"/>
              </w:rPr>
              <w:t>9月23日（周五）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16:50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、重修办理方式及流程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系统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报名</w:t>
      </w:r>
    </w:p>
    <w:p>
      <w:pPr>
        <w:spacing w:line="40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教务管理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系统办理编班重修、跟班重修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自学重修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的学生，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在规定时间内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登陆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系统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完成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报名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，超出报名时间系统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将自动关闭。具体操作流程详见《正方教务管理系统办理重修操作指南》（附件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3-1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（二）填表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如全校课程表（附件1）中有可以重修的课程，但因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人才培养方案调整，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存在课程代码等信息不一致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导致学生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无法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通过系统找到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相应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课程的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可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下载并填写《课程重修申请表》（附件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由开课单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位指定一门相近课程供学生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办理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跟班重修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或“自学重修”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经学生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填表申请、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所在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学院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审核，开课单位安排任课教师、上课时间、地点等信息，交教务处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审定后完成重修报名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重修课程学习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考核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   （一）跟班重修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学生完成跟班重修报名后，按课表上课时间、地点开始上课，且按时参加编入课程教学班的期末考核。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354" w:firstLineChars="147"/>
        <w:jc w:val="both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编班重修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办理编班重修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学生须在规定时间内通过系统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报名。系统报名截止后，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选择编班重修的学生选课人数达30人(大学外语教育必修课程20人)的课程，单独开设重修班。未达到单独编班人数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的课程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，则另行通知相关学生改为“跟班重修”或“自学重修”。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本学期编班重修课程学习时间为第二周到第十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周，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学生完成编班重修报名后，按课表上课时间、地点开始上课，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具体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考试安排另行通知。</w:t>
      </w:r>
    </w:p>
    <w:p>
      <w:pPr>
        <w:numPr>
          <w:ilvl w:val="0"/>
          <w:numId w:val="0"/>
        </w:numPr>
        <w:spacing w:line="440" w:lineRule="exact"/>
        <w:ind w:firstLine="482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u w:val="none"/>
          <w:lang w:eastAsia="zh-CN"/>
        </w:rPr>
        <w:t>（三）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u w:val="none"/>
        </w:rPr>
        <w:t>自学重修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学生报名完成后，通过教务管理系统“信息查询”模块中的“选课名单查询”页面，了解自学重修任课教师的联系方式（企业邮箱地址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或咨询任课教师所在单位相关负责人，见附件7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，在一周内通过邮箱与任课教师建立联系，知悉任课教师制定的辅导计划。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  <w:u w:val="none"/>
        </w:rPr>
        <w:t>办理自学重修的学生须</w:t>
      </w:r>
      <w:r>
        <w:rPr>
          <w:rFonts w:hint="eastAsia" w:ascii="宋体" w:hAnsi="宋体" w:eastAsia="宋体" w:cs="微软雅黑"/>
          <w:color w:val="auto"/>
          <w:sz w:val="24"/>
          <w:szCs w:val="24"/>
          <w:highlight w:val="none"/>
          <w:u w:val="none"/>
          <w:lang w:val="en-US" w:eastAsia="zh-CN"/>
        </w:rPr>
        <w:t>严格按《关于规范自学重修教学管理的通知》（附件5）完成课程学习，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按时参加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编入课程教学班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的期末考核。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严格按照教师的要求完成课后练习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或作业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的学生，任课教师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可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根据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实际情况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给予平时分。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对于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未主动联系任课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教师且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未按要求提交课后作业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的学生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，任课教师取消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  <w:lang w:val="en-US" w:eastAsia="zh-CN"/>
        </w:rPr>
        <w:t>其期末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none"/>
        </w:rPr>
        <w:t>考试资格。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、重修成绩及学分认定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（一）学生重修考核及格，由任课教师或辅导教师根据学生平时成绩和考试成绩评定综合成绩，录入系统中重修成绩一栏，给予相应学分，课程绩点记为1.0。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（二）因考试作弊而重修的课程，重修考核成绩最高按60分计，给予相应学分，课程绩点记为0。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lang w:eastAsia="zh-CN"/>
        </w:rPr>
        <w:t>相关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2" w:firstLineChars="196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因学校防疫防控要求，暂缓返校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u w:val="single"/>
          <w:lang w:val="en-US" w:eastAsia="zh-CN"/>
        </w:rPr>
        <w:t>的学生及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往届结业生（校外人员）非必要不进校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u w:val="single"/>
          <w:lang w:eastAsia="zh-CN"/>
        </w:rPr>
        <w:t>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u w:val="single"/>
        </w:rPr>
        <w:t>可通过系统报名重修，无法在系统上办理重修的课程，尽量委托校内人员代填表办理。结业生因特殊情况需进校办理课程重修的，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u w:val="single"/>
          <w:lang w:val="en-US" w:eastAsia="zh-CN"/>
        </w:rPr>
        <w:t>需提前一天致电020-22245136咨询进校手续。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（二）教学单位要高度重视自学重修教学管理工作，组织任课教师做好自学重修的辅导和管理工作，详见《关于规范自学重修教学管理的通知》（附件5）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（三）报名自学重修的学生可优先使用学校企业邮箱与任课教师建立联系，详见《学校企业邮箱使用说明(学生版）》（附件6）。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）原则上仅限重修本学期开设的课程。若因人才培养方案调整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导致原不及格课程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在低年级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不再开设，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由原开课单位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依据人才培养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方案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及教学大纲指定一门相近的课程安排学生重修。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70" w:firstLineChars="196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学生未经批准自行重修或未经批准擅自更换重修班级的，其重修课程考核成绩不予认定。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《大学计算机基础》的学生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无需报名课程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重修，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学生通过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报考广东省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高等学校计算机水平考试（一级）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并取得合格证书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完成课程重修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《体育1》系统报名时间另行通知。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（八）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教务处在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9月13日、9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分别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导出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第一批、第二批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通过系统报名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重修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的学生名单，发开课单位通知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任课教师。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）重修报名期间有任何疑问可咨询相关教学单位，详见《各单位办理课程重修负责人联系方式》（附件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spacing w:line="360" w:lineRule="exact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</w:p>
    <w:p>
      <w:pPr>
        <w:spacing w:line="360" w:lineRule="exact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学期全校课程表（仅供参考）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-202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学年第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学期编班重修拟开设课程安排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正方教务管理系统办理重修操作指南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-2.重修报名流程图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课程重修申请表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5.关于规范自学重修教学管理的通知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Theme="minorEastAsia" w:hAnsi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6.学校企业邮箱使用说明(学生版）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.各单位办理课程重修负责人联系方式</w:t>
      </w:r>
    </w:p>
    <w:p>
      <w:pPr>
        <w:spacing w:line="400" w:lineRule="exact"/>
        <w:ind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spacing w:line="380" w:lineRule="exac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80" w:lineRule="exac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80" w:lineRule="exact"/>
        <w:ind w:firstLine="5280" w:firstLineChars="2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广东外语外贸大学南国商学院 教务处</w:t>
      </w:r>
    </w:p>
    <w:p>
      <w:pPr>
        <w:spacing w:line="380" w:lineRule="exac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202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footerReference r:id="rId3" w:type="default"/>
      <w:pgSz w:w="11906" w:h="16838"/>
      <w:pgMar w:top="703" w:right="1123" w:bottom="703" w:left="112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C0D51B"/>
    <w:multiLevelType w:val="singleLevel"/>
    <w:tmpl w:val="A1C0D5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48217E"/>
    <w:multiLevelType w:val="singleLevel"/>
    <w:tmpl w:val="D948217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EF95EA5"/>
    <w:multiLevelType w:val="singleLevel"/>
    <w:tmpl w:val="2EF95EA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846D5A0"/>
    <w:multiLevelType w:val="singleLevel"/>
    <w:tmpl w:val="6846D5A0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OTZjYmRkOTJlOThiOTk5NGEwN2E2Zjg3MGU4YzEifQ=="/>
  </w:docVars>
  <w:rsids>
    <w:rsidRoot w:val="00096378"/>
    <w:rsid w:val="000027AA"/>
    <w:rsid w:val="000060D0"/>
    <w:rsid w:val="00017E6E"/>
    <w:rsid w:val="000242C4"/>
    <w:rsid w:val="0002665B"/>
    <w:rsid w:val="00027A1B"/>
    <w:rsid w:val="00031C72"/>
    <w:rsid w:val="000349BD"/>
    <w:rsid w:val="00034E2B"/>
    <w:rsid w:val="00044166"/>
    <w:rsid w:val="00045951"/>
    <w:rsid w:val="00054AC8"/>
    <w:rsid w:val="00055BB6"/>
    <w:rsid w:val="00074B65"/>
    <w:rsid w:val="000762CA"/>
    <w:rsid w:val="00080F04"/>
    <w:rsid w:val="00081E5A"/>
    <w:rsid w:val="000857B8"/>
    <w:rsid w:val="00086A83"/>
    <w:rsid w:val="00095BAD"/>
    <w:rsid w:val="00095D52"/>
    <w:rsid w:val="00096378"/>
    <w:rsid w:val="000A27D0"/>
    <w:rsid w:val="000A352A"/>
    <w:rsid w:val="000B58B3"/>
    <w:rsid w:val="000E38CC"/>
    <w:rsid w:val="000E6AE9"/>
    <w:rsid w:val="000F53A1"/>
    <w:rsid w:val="000F6849"/>
    <w:rsid w:val="00104B4A"/>
    <w:rsid w:val="00120383"/>
    <w:rsid w:val="00132DC5"/>
    <w:rsid w:val="001528AD"/>
    <w:rsid w:val="001639B2"/>
    <w:rsid w:val="00163EE4"/>
    <w:rsid w:val="00172748"/>
    <w:rsid w:val="00174417"/>
    <w:rsid w:val="00183D8B"/>
    <w:rsid w:val="0019312B"/>
    <w:rsid w:val="001B04F5"/>
    <w:rsid w:val="001C309B"/>
    <w:rsid w:val="001C3FA0"/>
    <w:rsid w:val="001E495E"/>
    <w:rsid w:val="001E51DA"/>
    <w:rsid w:val="002042FF"/>
    <w:rsid w:val="00206068"/>
    <w:rsid w:val="00210F1C"/>
    <w:rsid w:val="00214DF4"/>
    <w:rsid w:val="002157C1"/>
    <w:rsid w:val="002314F0"/>
    <w:rsid w:val="0023757E"/>
    <w:rsid w:val="00244EDC"/>
    <w:rsid w:val="00246DB8"/>
    <w:rsid w:val="00247F43"/>
    <w:rsid w:val="00253BC8"/>
    <w:rsid w:val="00264589"/>
    <w:rsid w:val="002727AF"/>
    <w:rsid w:val="00282AFE"/>
    <w:rsid w:val="00282FC4"/>
    <w:rsid w:val="002874E7"/>
    <w:rsid w:val="002B52C0"/>
    <w:rsid w:val="002C4248"/>
    <w:rsid w:val="002D0933"/>
    <w:rsid w:val="002E076D"/>
    <w:rsid w:val="002E283C"/>
    <w:rsid w:val="002E6AB8"/>
    <w:rsid w:val="002F0427"/>
    <w:rsid w:val="002F7463"/>
    <w:rsid w:val="00300BB6"/>
    <w:rsid w:val="00310CB4"/>
    <w:rsid w:val="003127D1"/>
    <w:rsid w:val="00344E59"/>
    <w:rsid w:val="00351184"/>
    <w:rsid w:val="00353901"/>
    <w:rsid w:val="00355E28"/>
    <w:rsid w:val="003756A0"/>
    <w:rsid w:val="0037706D"/>
    <w:rsid w:val="003829D9"/>
    <w:rsid w:val="00384269"/>
    <w:rsid w:val="0038638E"/>
    <w:rsid w:val="00386F03"/>
    <w:rsid w:val="003A759E"/>
    <w:rsid w:val="003B2938"/>
    <w:rsid w:val="003B3274"/>
    <w:rsid w:val="003B61A6"/>
    <w:rsid w:val="003C28E3"/>
    <w:rsid w:val="003D6E91"/>
    <w:rsid w:val="003F1223"/>
    <w:rsid w:val="003F7A7A"/>
    <w:rsid w:val="00410E28"/>
    <w:rsid w:val="0042771D"/>
    <w:rsid w:val="004323EB"/>
    <w:rsid w:val="004407D8"/>
    <w:rsid w:val="00444210"/>
    <w:rsid w:val="004537DB"/>
    <w:rsid w:val="004572E2"/>
    <w:rsid w:val="0046146A"/>
    <w:rsid w:val="00463D1C"/>
    <w:rsid w:val="004726C6"/>
    <w:rsid w:val="004837B1"/>
    <w:rsid w:val="0048587F"/>
    <w:rsid w:val="00492873"/>
    <w:rsid w:val="00494C0E"/>
    <w:rsid w:val="004B3C47"/>
    <w:rsid w:val="004B7A6F"/>
    <w:rsid w:val="004C062C"/>
    <w:rsid w:val="004D4880"/>
    <w:rsid w:val="004E14EC"/>
    <w:rsid w:val="004E5765"/>
    <w:rsid w:val="004F500F"/>
    <w:rsid w:val="004F771B"/>
    <w:rsid w:val="0050612B"/>
    <w:rsid w:val="00506BAE"/>
    <w:rsid w:val="00516272"/>
    <w:rsid w:val="00521DFC"/>
    <w:rsid w:val="00534AEC"/>
    <w:rsid w:val="005350A0"/>
    <w:rsid w:val="0055146C"/>
    <w:rsid w:val="00570CBE"/>
    <w:rsid w:val="00574F3B"/>
    <w:rsid w:val="00597C65"/>
    <w:rsid w:val="005A47D6"/>
    <w:rsid w:val="005A4974"/>
    <w:rsid w:val="005B06F9"/>
    <w:rsid w:val="005C3198"/>
    <w:rsid w:val="005D2FF9"/>
    <w:rsid w:val="005D64A7"/>
    <w:rsid w:val="005E0AE6"/>
    <w:rsid w:val="005E3A27"/>
    <w:rsid w:val="005F26BA"/>
    <w:rsid w:val="005F2EA1"/>
    <w:rsid w:val="00601D7A"/>
    <w:rsid w:val="006149A3"/>
    <w:rsid w:val="0061573D"/>
    <w:rsid w:val="00630752"/>
    <w:rsid w:val="006316D7"/>
    <w:rsid w:val="00635541"/>
    <w:rsid w:val="0064228C"/>
    <w:rsid w:val="00660B2D"/>
    <w:rsid w:val="006652C9"/>
    <w:rsid w:val="0066720F"/>
    <w:rsid w:val="006744BA"/>
    <w:rsid w:val="00687C17"/>
    <w:rsid w:val="0069100F"/>
    <w:rsid w:val="00693FAD"/>
    <w:rsid w:val="006A2BE9"/>
    <w:rsid w:val="006A2E4B"/>
    <w:rsid w:val="006B21AF"/>
    <w:rsid w:val="006C11BB"/>
    <w:rsid w:val="006C5D64"/>
    <w:rsid w:val="006C63F1"/>
    <w:rsid w:val="006C66FC"/>
    <w:rsid w:val="006C7D76"/>
    <w:rsid w:val="006D36EB"/>
    <w:rsid w:val="006D6882"/>
    <w:rsid w:val="006E4932"/>
    <w:rsid w:val="006F2D4D"/>
    <w:rsid w:val="006F3CBF"/>
    <w:rsid w:val="006F4537"/>
    <w:rsid w:val="00700E59"/>
    <w:rsid w:val="00700F82"/>
    <w:rsid w:val="00711CB5"/>
    <w:rsid w:val="00713EC6"/>
    <w:rsid w:val="00715EE3"/>
    <w:rsid w:val="00744CE7"/>
    <w:rsid w:val="00744D88"/>
    <w:rsid w:val="00750DDB"/>
    <w:rsid w:val="00756663"/>
    <w:rsid w:val="007670B4"/>
    <w:rsid w:val="00784302"/>
    <w:rsid w:val="00787FEC"/>
    <w:rsid w:val="007A31CE"/>
    <w:rsid w:val="007B5C53"/>
    <w:rsid w:val="007B78FF"/>
    <w:rsid w:val="007C2B23"/>
    <w:rsid w:val="007C5798"/>
    <w:rsid w:val="007E3F43"/>
    <w:rsid w:val="007F2A70"/>
    <w:rsid w:val="007F73D7"/>
    <w:rsid w:val="008017BD"/>
    <w:rsid w:val="008051C2"/>
    <w:rsid w:val="00816D17"/>
    <w:rsid w:val="008240C3"/>
    <w:rsid w:val="008267E5"/>
    <w:rsid w:val="00830396"/>
    <w:rsid w:val="00831212"/>
    <w:rsid w:val="00831E85"/>
    <w:rsid w:val="008533E4"/>
    <w:rsid w:val="008613E8"/>
    <w:rsid w:val="00873BB4"/>
    <w:rsid w:val="00876AF8"/>
    <w:rsid w:val="008954BB"/>
    <w:rsid w:val="008A686D"/>
    <w:rsid w:val="008A7A30"/>
    <w:rsid w:val="008D6B35"/>
    <w:rsid w:val="008F6C45"/>
    <w:rsid w:val="0090117F"/>
    <w:rsid w:val="0090353E"/>
    <w:rsid w:val="009073BB"/>
    <w:rsid w:val="009115A8"/>
    <w:rsid w:val="00923ABC"/>
    <w:rsid w:val="00926F79"/>
    <w:rsid w:val="00932031"/>
    <w:rsid w:val="00932D31"/>
    <w:rsid w:val="00935AC8"/>
    <w:rsid w:val="00946263"/>
    <w:rsid w:val="009467CF"/>
    <w:rsid w:val="009507E2"/>
    <w:rsid w:val="00956B5A"/>
    <w:rsid w:val="00960784"/>
    <w:rsid w:val="009613FC"/>
    <w:rsid w:val="00963DB2"/>
    <w:rsid w:val="00970450"/>
    <w:rsid w:val="0098160D"/>
    <w:rsid w:val="009858BA"/>
    <w:rsid w:val="009A7A79"/>
    <w:rsid w:val="009B27B7"/>
    <w:rsid w:val="009C2F67"/>
    <w:rsid w:val="009C717B"/>
    <w:rsid w:val="009D643D"/>
    <w:rsid w:val="009E075C"/>
    <w:rsid w:val="009E13F3"/>
    <w:rsid w:val="009E28D5"/>
    <w:rsid w:val="009E2DF4"/>
    <w:rsid w:val="009F703E"/>
    <w:rsid w:val="00A00FF1"/>
    <w:rsid w:val="00A10964"/>
    <w:rsid w:val="00A10B91"/>
    <w:rsid w:val="00A20520"/>
    <w:rsid w:val="00A420F9"/>
    <w:rsid w:val="00A42AF1"/>
    <w:rsid w:val="00A441F6"/>
    <w:rsid w:val="00A5066B"/>
    <w:rsid w:val="00A50807"/>
    <w:rsid w:val="00A53AD4"/>
    <w:rsid w:val="00A73C59"/>
    <w:rsid w:val="00A75842"/>
    <w:rsid w:val="00A83902"/>
    <w:rsid w:val="00A87488"/>
    <w:rsid w:val="00AD3ED7"/>
    <w:rsid w:val="00AE4B38"/>
    <w:rsid w:val="00AF11E9"/>
    <w:rsid w:val="00B04CA7"/>
    <w:rsid w:val="00B173C5"/>
    <w:rsid w:val="00B23848"/>
    <w:rsid w:val="00B24B8B"/>
    <w:rsid w:val="00B32F6E"/>
    <w:rsid w:val="00B336E7"/>
    <w:rsid w:val="00B4033E"/>
    <w:rsid w:val="00B44849"/>
    <w:rsid w:val="00B44888"/>
    <w:rsid w:val="00B468B7"/>
    <w:rsid w:val="00B9625E"/>
    <w:rsid w:val="00B97B2F"/>
    <w:rsid w:val="00BA5115"/>
    <w:rsid w:val="00BB072A"/>
    <w:rsid w:val="00BC080C"/>
    <w:rsid w:val="00BC16D5"/>
    <w:rsid w:val="00BC4B41"/>
    <w:rsid w:val="00BD3CA0"/>
    <w:rsid w:val="00BE076A"/>
    <w:rsid w:val="00BF43BC"/>
    <w:rsid w:val="00C03CF2"/>
    <w:rsid w:val="00C121FC"/>
    <w:rsid w:val="00C209FF"/>
    <w:rsid w:val="00C22962"/>
    <w:rsid w:val="00C46795"/>
    <w:rsid w:val="00C50C36"/>
    <w:rsid w:val="00C54996"/>
    <w:rsid w:val="00C557E7"/>
    <w:rsid w:val="00C56682"/>
    <w:rsid w:val="00C5732C"/>
    <w:rsid w:val="00C61A80"/>
    <w:rsid w:val="00C63342"/>
    <w:rsid w:val="00C662B8"/>
    <w:rsid w:val="00C6727E"/>
    <w:rsid w:val="00C67C6F"/>
    <w:rsid w:val="00C72C33"/>
    <w:rsid w:val="00C823C7"/>
    <w:rsid w:val="00C87825"/>
    <w:rsid w:val="00C9184D"/>
    <w:rsid w:val="00C92C44"/>
    <w:rsid w:val="00CC4F6A"/>
    <w:rsid w:val="00CD0C06"/>
    <w:rsid w:val="00CD141F"/>
    <w:rsid w:val="00CD67B6"/>
    <w:rsid w:val="00CE3463"/>
    <w:rsid w:val="00CF41C3"/>
    <w:rsid w:val="00CF4AAB"/>
    <w:rsid w:val="00D00A99"/>
    <w:rsid w:val="00D04ADD"/>
    <w:rsid w:val="00D168CF"/>
    <w:rsid w:val="00D215C3"/>
    <w:rsid w:val="00D2186A"/>
    <w:rsid w:val="00D22230"/>
    <w:rsid w:val="00D2459D"/>
    <w:rsid w:val="00D2661F"/>
    <w:rsid w:val="00D32DB4"/>
    <w:rsid w:val="00D37918"/>
    <w:rsid w:val="00D5075D"/>
    <w:rsid w:val="00D5769E"/>
    <w:rsid w:val="00D65AE5"/>
    <w:rsid w:val="00D82E01"/>
    <w:rsid w:val="00D84ACE"/>
    <w:rsid w:val="00D87304"/>
    <w:rsid w:val="00DB564F"/>
    <w:rsid w:val="00DC016D"/>
    <w:rsid w:val="00DF0444"/>
    <w:rsid w:val="00DF5D15"/>
    <w:rsid w:val="00E16525"/>
    <w:rsid w:val="00E23AE2"/>
    <w:rsid w:val="00E25AB3"/>
    <w:rsid w:val="00E32F23"/>
    <w:rsid w:val="00E3462D"/>
    <w:rsid w:val="00E4137E"/>
    <w:rsid w:val="00E41381"/>
    <w:rsid w:val="00E50384"/>
    <w:rsid w:val="00E51ED5"/>
    <w:rsid w:val="00E62B9C"/>
    <w:rsid w:val="00E66FE4"/>
    <w:rsid w:val="00EA3315"/>
    <w:rsid w:val="00EB31AD"/>
    <w:rsid w:val="00EB438B"/>
    <w:rsid w:val="00ED3EF3"/>
    <w:rsid w:val="00ED52ED"/>
    <w:rsid w:val="00EE5548"/>
    <w:rsid w:val="00EF4A1E"/>
    <w:rsid w:val="00EF75B9"/>
    <w:rsid w:val="00F01786"/>
    <w:rsid w:val="00F02399"/>
    <w:rsid w:val="00F06EEB"/>
    <w:rsid w:val="00F26205"/>
    <w:rsid w:val="00F34377"/>
    <w:rsid w:val="00F354D9"/>
    <w:rsid w:val="00F36EA3"/>
    <w:rsid w:val="00F41C8F"/>
    <w:rsid w:val="00F4601E"/>
    <w:rsid w:val="00F4733C"/>
    <w:rsid w:val="00F67902"/>
    <w:rsid w:val="00F72EC9"/>
    <w:rsid w:val="00F75C3F"/>
    <w:rsid w:val="00F80B7E"/>
    <w:rsid w:val="00F856BA"/>
    <w:rsid w:val="00FA46C0"/>
    <w:rsid w:val="00FB6E6E"/>
    <w:rsid w:val="00FC3508"/>
    <w:rsid w:val="00FC516B"/>
    <w:rsid w:val="00FE137C"/>
    <w:rsid w:val="00FE18E1"/>
    <w:rsid w:val="00FE2B65"/>
    <w:rsid w:val="00FE6339"/>
    <w:rsid w:val="02BE407A"/>
    <w:rsid w:val="02EE03F1"/>
    <w:rsid w:val="032A5CC5"/>
    <w:rsid w:val="046441DF"/>
    <w:rsid w:val="04D507C0"/>
    <w:rsid w:val="05032083"/>
    <w:rsid w:val="058871BF"/>
    <w:rsid w:val="05B16011"/>
    <w:rsid w:val="05C0366A"/>
    <w:rsid w:val="060D3805"/>
    <w:rsid w:val="061B521D"/>
    <w:rsid w:val="06E7076B"/>
    <w:rsid w:val="06F9676B"/>
    <w:rsid w:val="073B6DF0"/>
    <w:rsid w:val="07936256"/>
    <w:rsid w:val="082878AE"/>
    <w:rsid w:val="092934E8"/>
    <w:rsid w:val="096F6ADB"/>
    <w:rsid w:val="09D23E12"/>
    <w:rsid w:val="09DC187A"/>
    <w:rsid w:val="0A663846"/>
    <w:rsid w:val="0A6B706A"/>
    <w:rsid w:val="0A8F1409"/>
    <w:rsid w:val="0AB42AE7"/>
    <w:rsid w:val="0AE2647B"/>
    <w:rsid w:val="0B2C1493"/>
    <w:rsid w:val="0BC86D6B"/>
    <w:rsid w:val="0BED68E2"/>
    <w:rsid w:val="0C996D2B"/>
    <w:rsid w:val="0CB94EF7"/>
    <w:rsid w:val="0D1E06A2"/>
    <w:rsid w:val="0D667E43"/>
    <w:rsid w:val="0D77443A"/>
    <w:rsid w:val="0E0063FE"/>
    <w:rsid w:val="0F631AFD"/>
    <w:rsid w:val="0FAC71D2"/>
    <w:rsid w:val="102131B6"/>
    <w:rsid w:val="106937DD"/>
    <w:rsid w:val="10951B33"/>
    <w:rsid w:val="11134CC0"/>
    <w:rsid w:val="118A295F"/>
    <w:rsid w:val="128E6B56"/>
    <w:rsid w:val="1327772F"/>
    <w:rsid w:val="134975C7"/>
    <w:rsid w:val="137063F0"/>
    <w:rsid w:val="16656CAA"/>
    <w:rsid w:val="16852F85"/>
    <w:rsid w:val="17272D7E"/>
    <w:rsid w:val="175C1663"/>
    <w:rsid w:val="1816367B"/>
    <w:rsid w:val="184D2CDE"/>
    <w:rsid w:val="18750E17"/>
    <w:rsid w:val="193C69C8"/>
    <w:rsid w:val="193C6C6A"/>
    <w:rsid w:val="1A0C6CAA"/>
    <w:rsid w:val="1A285D73"/>
    <w:rsid w:val="1A3D7FB0"/>
    <w:rsid w:val="1A4624E0"/>
    <w:rsid w:val="1A860774"/>
    <w:rsid w:val="1ABB23CD"/>
    <w:rsid w:val="1AFB3212"/>
    <w:rsid w:val="1AFC7A35"/>
    <w:rsid w:val="1B1F6121"/>
    <w:rsid w:val="1B3F3A4D"/>
    <w:rsid w:val="1C2E0C24"/>
    <w:rsid w:val="1C4E27CB"/>
    <w:rsid w:val="1CC84D7F"/>
    <w:rsid w:val="1CE00226"/>
    <w:rsid w:val="1EB02989"/>
    <w:rsid w:val="1EDF6866"/>
    <w:rsid w:val="1EFB2190"/>
    <w:rsid w:val="1F08364F"/>
    <w:rsid w:val="1F966448"/>
    <w:rsid w:val="20022007"/>
    <w:rsid w:val="200C356B"/>
    <w:rsid w:val="20884C08"/>
    <w:rsid w:val="212E68C5"/>
    <w:rsid w:val="21310BAC"/>
    <w:rsid w:val="2138141C"/>
    <w:rsid w:val="214D0F30"/>
    <w:rsid w:val="217652A7"/>
    <w:rsid w:val="21902A20"/>
    <w:rsid w:val="21D116E8"/>
    <w:rsid w:val="22215988"/>
    <w:rsid w:val="235311B6"/>
    <w:rsid w:val="23B82921"/>
    <w:rsid w:val="23FD699D"/>
    <w:rsid w:val="24E546CD"/>
    <w:rsid w:val="24FB4B20"/>
    <w:rsid w:val="25450D3A"/>
    <w:rsid w:val="254B1B10"/>
    <w:rsid w:val="256B27CA"/>
    <w:rsid w:val="25945AC8"/>
    <w:rsid w:val="259B6943"/>
    <w:rsid w:val="26A85D28"/>
    <w:rsid w:val="275E6690"/>
    <w:rsid w:val="27702888"/>
    <w:rsid w:val="280264DB"/>
    <w:rsid w:val="29C63095"/>
    <w:rsid w:val="29D73DBD"/>
    <w:rsid w:val="2A3049B2"/>
    <w:rsid w:val="2AE01F98"/>
    <w:rsid w:val="2C1D4473"/>
    <w:rsid w:val="2C8E5938"/>
    <w:rsid w:val="2D5B7667"/>
    <w:rsid w:val="2D636B39"/>
    <w:rsid w:val="2D837DB5"/>
    <w:rsid w:val="2DB024DE"/>
    <w:rsid w:val="2E664B83"/>
    <w:rsid w:val="2E832BE2"/>
    <w:rsid w:val="2E8F6FC3"/>
    <w:rsid w:val="2F573630"/>
    <w:rsid w:val="30235658"/>
    <w:rsid w:val="30384FB8"/>
    <w:rsid w:val="305366F7"/>
    <w:rsid w:val="30E06DED"/>
    <w:rsid w:val="31543913"/>
    <w:rsid w:val="31703B5F"/>
    <w:rsid w:val="31880C30"/>
    <w:rsid w:val="32371964"/>
    <w:rsid w:val="32C60B83"/>
    <w:rsid w:val="32FD7D93"/>
    <w:rsid w:val="343E4CE1"/>
    <w:rsid w:val="34BC1CBF"/>
    <w:rsid w:val="3547098C"/>
    <w:rsid w:val="356B734F"/>
    <w:rsid w:val="3718046E"/>
    <w:rsid w:val="37A662B4"/>
    <w:rsid w:val="380E08CE"/>
    <w:rsid w:val="39A7603A"/>
    <w:rsid w:val="39EC79DE"/>
    <w:rsid w:val="3B293CA8"/>
    <w:rsid w:val="3B722FE2"/>
    <w:rsid w:val="3B866A3A"/>
    <w:rsid w:val="3C2D6E34"/>
    <w:rsid w:val="3C51506B"/>
    <w:rsid w:val="3C5A3AB2"/>
    <w:rsid w:val="3DA4481A"/>
    <w:rsid w:val="3DC42729"/>
    <w:rsid w:val="3E3C27A9"/>
    <w:rsid w:val="3E6F5651"/>
    <w:rsid w:val="3EE845B3"/>
    <w:rsid w:val="3F140089"/>
    <w:rsid w:val="3FCD52DF"/>
    <w:rsid w:val="40B703FA"/>
    <w:rsid w:val="40F0234E"/>
    <w:rsid w:val="410B1FD1"/>
    <w:rsid w:val="414126E2"/>
    <w:rsid w:val="418228C3"/>
    <w:rsid w:val="422864B1"/>
    <w:rsid w:val="43C72CF2"/>
    <w:rsid w:val="43E17819"/>
    <w:rsid w:val="445126F5"/>
    <w:rsid w:val="44A17884"/>
    <w:rsid w:val="44BA587F"/>
    <w:rsid w:val="44BE51EF"/>
    <w:rsid w:val="453D1840"/>
    <w:rsid w:val="4577698C"/>
    <w:rsid w:val="45D20552"/>
    <w:rsid w:val="463E11A7"/>
    <w:rsid w:val="46BF0AB9"/>
    <w:rsid w:val="4731352C"/>
    <w:rsid w:val="473F05EB"/>
    <w:rsid w:val="48440B63"/>
    <w:rsid w:val="484B26E1"/>
    <w:rsid w:val="48BD09E4"/>
    <w:rsid w:val="48D13B5F"/>
    <w:rsid w:val="48EE7C46"/>
    <w:rsid w:val="493C2095"/>
    <w:rsid w:val="497567DB"/>
    <w:rsid w:val="499C2A4E"/>
    <w:rsid w:val="4AED1645"/>
    <w:rsid w:val="4B11344A"/>
    <w:rsid w:val="4B4F786C"/>
    <w:rsid w:val="4C0B74A6"/>
    <w:rsid w:val="4C2E377C"/>
    <w:rsid w:val="4C6C22EF"/>
    <w:rsid w:val="4C972394"/>
    <w:rsid w:val="4CCE390E"/>
    <w:rsid w:val="4CD1733B"/>
    <w:rsid w:val="4D3E126A"/>
    <w:rsid w:val="4DD510BA"/>
    <w:rsid w:val="4E0D5A3A"/>
    <w:rsid w:val="4FA76C95"/>
    <w:rsid w:val="5015134E"/>
    <w:rsid w:val="501778F7"/>
    <w:rsid w:val="510D5E26"/>
    <w:rsid w:val="5140690C"/>
    <w:rsid w:val="517D6119"/>
    <w:rsid w:val="53020956"/>
    <w:rsid w:val="53201A8B"/>
    <w:rsid w:val="53481F7B"/>
    <w:rsid w:val="534F6994"/>
    <w:rsid w:val="54196270"/>
    <w:rsid w:val="54627019"/>
    <w:rsid w:val="553E6BB3"/>
    <w:rsid w:val="556A78D0"/>
    <w:rsid w:val="55A27120"/>
    <w:rsid w:val="561F3061"/>
    <w:rsid w:val="56521689"/>
    <w:rsid w:val="5705166E"/>
    <w:rsid w:val="57C4205F"/>
    <w:rsid w:val="583223B4"/>
    <w:rsid w:val="58801802"/>
    <w:rsid w:val="59035018"/>
    <w:rsid w:val="59310F95"/>
    <w:rsid w:val="59B52A80"/>
    <w:rsid w:val="59F92B72"/>
    <w:rsid w:val="5A4E13B1"/>
    <w:rsid w:val="5AB17AEB"/>
    <w:rsid w:val="5AEC016C"/>
    <w:rsid w:val="5B1D3008"/>
    <w:rsid w:val="5B98015D"/>
    <w:rsid w:val="5BBC3184"/>
    <w:rsid w:val="5BE324DD"/>
    <w:rsid w:val="5C335E85"/>
    <w:rsid w:val="5C457F0C"/>
    <w:rsid w:val="5C71566D"/>
    <w:rsid w:val="5C8B34B6"/>
    <w:rsid w:val="5D2062E5"/>
    <w:rsid w:val="5D285236"/>
    <w:rsid w:val="5F0820A0"/>
    <w:rsid w:val="5F0A6B77"/>
    <w:rsid w:val="5F0C0844"/>
    <w:rsid w:val="5F7A2C8F"/>
    <w:rsid w:val="60FB1AEE"/>
    <w:rsid w:val="61AB1B4F"/>
    <w:rsid w:val="625917F7"/>
    <w:rsid w:val="62961740"/>
    <w:rsid w:val="62BF4342"/>
    <w:rsid w:val="637075F2"/>
    <w:rsid w:val="63874CFB"/>
    <w:rsid w:val="63B271D6"/>
    <w:rsid w:val="642F51FD"/>
    <w:rsid w:val="647E382D"/>
    <w:rsid w:val="65023356"/>
    <w:rsid w:val="651E7437"/>
    <w:rsid w:val="65817D3C"/>
    <w:rsid w:val="666B6677"/>
    <w:rsid w:val="666E670D"/>
    <w:rsid w:val="66A34259"/>
    <w:rsid w:val="6706650F"/>
    <w:rsid w:val="677A1E65"/>
    <w:rsid w:val="682858E8"/>
    <w:rsid w:val="68914293"/>
    <w:rsid w:val="69AF24DF"/>
    <w:rsid w:val="69B873A5"/>
    <w:rsid w:val="6AA162E3"/>
    <w:rsid w:val="6BEE3144"/>
    <w:rsid w:val="6C003589"/>
    <w:rsid w:val="6C5B65AC"/>
    <w:rsid w:val="6C785A09"/>
    <w:rsid w:val="6DBC2EF9"/>
    <w:rsid w:val="6DEE2266"/>
    <w:rsid w:val="6E8630AE"/>
    <w:rsid w:val="6ED41DD4"/>
    <w:rsid w:val="6F8B546F"/>
    <w:rsid w:val="6FE33AC1"/>
    <w:rsid w:val="70136042"/>
    <w:rsid w:val="71352C65"/>
    <w:rsid w:val="71567F56"/>
    <w:rsid w:val="71677ABF"/>
    <w:rsid w:val="71EB2340"/>
    <w:rsid w:val="72B50B6F"/>
    <w:rsid w:val="732C11D9"/>
    <w:rsid w:val="74407B01"/>
    <w:rsid w:val="749100B9"/>
    <w:rsid w:val="74E16146"/>
    <w:rsid w:val="750F4882"/>
    <w:rsid w:val="756D5F3E"/>
    <w:rsid w:val="75E20975"/>
    <w:rsid w:val="75F23450"/>
    <w:rsid w:val="76494443"/>
    <w:rsid w:val="76C9109B"/>
    <w:rsid w:val="77A76DD4"/>
    <w:rsid w:val="77E778BA"/>
    <w:rsid w:val="789977A3"/>
    <w:rsid w:val="78CB0BC0"/>
    <w:rsid w:val="78DE1105"/>
    <w:rsid w:val="79196D57"/>
    <w:rsid w:val="792E766D"/>
    <w:rsid w:val="797D1D3B"/>
    <w:rsid w:val="79A03FCF"/>
    <w:rsid w:val="79F526BE"/>
    <w:rsid w:val="7A240B6A"/>
    <w:rsid w:val="7A823179"/>
    <w:rsid w:val="7A9F4678"/>
    <w:rsid w:val="7AAF4A33"/>
    <w:rsid w:val="7AAF72E4"/>
    <w:rsid w:val="7C2B6D7F"/>
    <w:rsid w:val="7C9D5980"/>
    <w:rsid w:val="7D6F4866"/>
    <w:rsid w:val="7DDE126F"/>
    <w:rsid w:val="7E2510AC"/>
    <w:rsid w:val="7E485B88"/>
    <w:rsid w:val="7E4A4DAF"/>
    <w:rsid w:val="7EB1021F"/>
    <w:rsid w:val="7F0F3407"/>
    <w:rsid w:val="7F2E5A7C"/>
    <w:rsid w:val="7FEA3848"/>
    <w:rsid w:val="7FF909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EEC6B1-B2C6-4AD8-A8E3-15121FF02F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2430</Words>
  <Characters>2588</Characters>
  <Lines>19</Lines>
  <Paragraphs>5</Paragraphs>
  <TotalTime>28</TotalTime>
  <ScaleCrop>false</ScaleCrop>
  <LinksUpToDate>false</LinksUpToDate>
  <CharactersWithSpaces>2648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2020-03-12T15:17:00Z</dcterms:created>
  <dc:creator>微软用户</dc:creator>
  <cp:lastModifiedBy>Administrator</cp:lastModifiedBy>
  <cp:lastPrinted>2022-06-29T06:13:00Z</cp:lastPrinted>
  <dcterms:modified xsi:type="dcterms:W3CDTF">2022-09-03T06:17:43Z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68B8B7A3CA6046069EB77EDDAF422CB3</vt:lpwstr>
  </property>
</Properties>
</file>