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4697E">
      <w:pPr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关于办好20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-202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学年第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学期“博雅大讲</w:t>
      </w:r>
      <w:r>
        <w:rPr>
          <w:rFonts w:hint="eastAsia" w:asciiTheme="minorEastAsia" w:hAnsiTheme="minorEastAsia" w:cstheme="minorEastAsia"/>
          <w:b/>
          <w:sz w:val="30"/>
          <w:szCs w:val="30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”的通知</w:t>
      </w:r>
    </w:p>
    <w:p w14:paraId="4A501712">
      <w:pPr>
        <w:jc w:val="left"/>
        <w:rPr>
          <w:rFonts w:hint="eastAsia" w:asciiTheme="minorEastAsia" w:hAnsiTheme="minorEastAsia" w:eastAsiaTheme="minorEastAsia" w:cstheme="minorEastAsia"/>
        </w:rPr>
      </w:pPr>
    </w:p>
    <w:p w14:paraId="3893BC1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各教学单位：</w:t>
      </w:r>
    </w:p>
    <w:p w14:paraId="52D24034">
      <w:pPr>
        <w:spacing w:line="480" w:lineRule="auto"/>
        <w:ind w:firstLine="48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“博雅大讲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自2018年上半年开办以来，已经成功举办了“MBA基础知识系列讲座”、“国学经典导读系列讲座”、“外国文化经典系列讲座”和“社会经济热点问题探究系列讲座”等一系列讲座，活跃了我校的学术氛围，促进了学生综合素质的提高。为了充分发挥“博雅大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”在学生人文素质教育方面的作用，现就20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学年第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学期“博雅大讲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”有关工作安排如下：</w:t>
      </w:r>
    </w:p>
    <w:p w14:paraId="6EDC3309">
      <w:pPr>
        <w:spacing w:line="480" w:lineRule="auto"/>
        <w:ind w:firstLine="48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一、“博雅大讲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”应以全校学生为讲授对象，重点培养学生的人文情怀、道德情操和审美情趣。讲座数量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坚持宁缺毋滥的原则，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控制在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每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期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，讲座题目和内容应做到雅俗共赏，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主讲人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应是具有较高学术声望的校外专家。</w:t>
      </w:r>
    </w:p>
    <w:p w14:paraId="1A3F94A8">
      <w:pPr>
        <w:spacing w:line="480" w:lineRule="auto"/>
        <w:ind w:firstLine="48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二、请各教学单位围绕文学、艺术、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语言文化、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美学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音乐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和外交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等主题进行“博雅大讲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”的讲座题目申报。教务处将组织专家对各教学单位申报的题目进行审核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并上报学校党政联席会，学校党政联席会通过后方可执行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7348517">
      <w:pPr>
        <w:spacing w:line="480" w:lineRule="auto"/>
        <w:ind w:firstLine="48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“博雅大讲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”的讲座纳入到由校团委管理的“社会实践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”中，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学生参加一场讲座可获得0.15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个学分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39379CCC">
      <w:pPr>
        <w:spacing w:line="480" w:lineRule="auto"/>
        <w:ind w:firstLine="48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四、讲座由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报单位承办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教务处负责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讲座的选题征集、审核及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协调校内相关单位做好现场录像、摄影、推介等工作。承办单位负责讲座的宣传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工作。</w:t>
      </w:r>
    </w:p>
    <w:p w14:paraId="107527FA">
      <w:pPr>
        <w:spacing w:line="480" w:lineRule="auto"/>
        <w:ind w:firstLine="43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五、举办“博雅大讲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”所需经费由承办单位从教学专项经费预算中支出，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原则上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每讲付酬5000元。</w:t>
      </w:r>
    </w:p>
    <w:p w14:paraId="75E6E1BF">
      <w:pPr>
        <w:spacing w:line="480" w:lineRule="auto"/>
        <w:ind w:firstLine="435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六、请各教学单位于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学年第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学期“博雅大讲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”计划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表（附表）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，电子版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213029@gwng.edu.cn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纸质版签字盖章提交教务处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（行政楼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212办公室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767A2C82">
      <w:pPr>
        <w:spacing w:line="480" w:lineRule="auto"/>
        <w:ind w:firstLine="736" w:firstLineChars="307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刘茗雪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罗惠铭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电话：22245806</w:t>
      </w:r>
    </w:p>
    <w:p w14:paraId="0BF5C011">
      <w:pPr>
        <w:spacing w:line="360" w:lineRule="auto"/>
        <w:ind w:firstLine="8040" w:firstLineChars="33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教务处</w:t>
      </w:r>
    </w:p>
    <w:p w14:paraId="00515FC0">
      <w:pPr>
        <w:spacing w:line="360" w:lineRule="auto"/>
        <w:ind w:firstLine="7320" w:firstLineChars="30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626D75F2">
      <w:pPr>
        <w:spacing w:line="360" w:lineRule="auto"/>
        <w:jc w:val="left"/>
        <w:rPr>
          <w:rFonts w:hint="eastAsia" w:asciiTheme="minorEastAsia" w:hAnsiTheme="minor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eastAsia="zh-CN"/>
        </w:rPr>
        <w:t>附表：</w:t>
      </w:r>
    </w:p>
    <w:p w14:paraId="60960600">
      <w:pPr>
        <w:spacing w:line="360" w:lineRule="auto"/>
        <w:jc w:val="center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学年第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学期博雅大讲坛计划表</w:t>
      </w:r>
    </w:p>
    <w:p w14:paraId="3F373783">
      <w:pPr>
        <w:spacing w:line="360" w:lineRule="auto"/>
        <w:jc w:val="center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</w:p>
    <w:tbl>
      <w:tblPr>
        <w:tblStyle w:val="5"/>
        <w:tblW w:w="9615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719"/>
        <w:gridCol w:w="2425"/>
        <w:gridCol w:w="1465"/>
        <w:gridCol w:w="2070"/>
        <w:gridCol w:w="1170"/>
      </w:tblGrid>
      <w:tr w14:paraId="2475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66" w:type="dxa"/>
          </w:tcPr>
          <w:p w14:paraId="6B4E30C4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5DA719BA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  <w:p w14:paraId="6182ED6B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19" w:type="dxa"/>
          </w:tcPr>
          <w:p w14:paraId="41A1DDEE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7EE9AFA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讲座题目</w:t>
            </w:r>
          </w:p>
        </w:tc>
        <w:tc>
          <w:tcPr>
            <w:tcW w:w="2425" w:type="dxa"/>
          </w:tcPr>
          <w:p w14:paraId="331708B5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973EBDA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主讲人及简介</w:t>
            </w:r>
          </w:p>
        </w:tc>
        <w:tc>
          <w:tcPr>
            <w:tcW w:w="1465" w:type="dxa"/>
          </w:tcPr>
          <w:p w14:paraId="59BC2BAF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735C6585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预计时间</w:t>
            </w:r>
          </w:p>
        </w:tc>
        <w:tc>
          <w:tcPr>
            <w:tcW w:w="2070" w:type="dxa"/>
          </w:tcPr>
          <w:p w14:paraId="72AAC492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851BFDB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学院联系人及</w:t>
            </w:r>
          </w:p>
          <w:p w14:paraId="25BFC433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170" w:type="dxa"/>
          </w:tcPr>
          <w:p w14:paraId="60A44850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A7449E0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10C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7FC1C567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0E669A41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6F367746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3B3D49D6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4F49517E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73A50D09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83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5E4267A1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4E98F5EF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49346560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14BD8BA2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19C0FA9C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52DBC886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1E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1FCE84F2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63E9E2A1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5E9C9EAF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5B1B669B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057E0959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70631E57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9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33AE85D2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2419975D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0EC61A14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4D84793C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5CFB32C2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08A1C9F8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00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30F41275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3549C4C0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283BEF17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3756D8F9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01B9F044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70A63C7A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A1F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46EBB7A3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5D4FD035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46A7ADB4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2B4D5E12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31152B07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3A752BC0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EB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72FE90A9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14F59638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7653558C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5677BA2A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7798ACF0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0753E87F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35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5EA7B186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4321D9E1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6C21704E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0DF57091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2D00CC00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1EBAC03D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FD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66" w:type="dxa"/>
          </w:tcPr>
          <w:p w14:paraId="1656A73E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9" w:type="dxa"/>
          </w:tcPr>
          <w:p w14:paraId="185D609C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5" w:type="dxa"/>
          </w:tcPr>
          <w:p w14:paraId="60428795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5" w:type="dxa"/>
          </w:tcPr>
          <w:p w14:paraId="6D66D940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 w14:paraId="4344B9AE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2EBDA613"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298CB2C">
      <w:p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p w14:paraId="1A82E04D">
      <w:pPr>
        <w:spacing w:line="360" w:lineRule="auto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</w:t>
      </w:r>
    </w:p>
    <w:p w14:paraId="26D26695">
      <w:pPr>
        <w:spacing w:line="360" w:lineRule="auto"/>
        <w:ind w:firstLine="4320" w:firstLineChars="18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教学单位负责人签字：            （盖章）</w:t>
      </w:r>
    </w:p>
    <w:p w14:paraId="430E0967">
      <w:pPr>
        <w:spacing w:line="360" w:lineRule="auto"/>
        <w:ind w:firstLine="4320" w:firstLineChars="18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3CAD6F82">
      <w:pPr>
        <w:spacing w:line="360" w:lineRule="auto"/>
        <w:ind w:firstLine="4320" w:firstLineChars="18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3557C970">
      <w:pPr>
        <w:spacing w:line="360" w:lineRule="auto"/>
        <w:ind w:firstLine="4320" w:firstLineChars="18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4B324BBA">
      <w:pPr>
        <w:spacing w:line="360" w:lineRule="auto"/>
        <w:ind w:firstLine="4320" w:firstLineChars="18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03EDAAEB">
      <w:pPr>
        <w:spacing w:line="360" w:lineRule="auto"/>
        <w:ind w:firstLine="4320" w:firstLineChars="18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0EFD8BCC">
      <w:pPr>
        <w:spacing w:line="360" w:lineRule="auto"/>
        <w:ind w:firstLine="4320" w:firstLineChars="18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sectPr>
      <w:pgSz w:w="11906" w:h="16838"/>
      <w:pgMar w:top="744" w:right="1286" w:bottom="554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BlZWJiNDQ2NjQ2ZjUzMDU2ODk4ZTRkZmFhNGI1M2QifQ=="/>
  </w:docVars>
  <w:rsids>
    <w:rsidRoot w:val="008256CF"/>
    <w:rsid w:val="000078FA"/>
    <w:rsid w:val="0001093B"/>
    <w:rsid w:val="00014BA7"/>
    <w:rsid w:val="000251EC"/>
    <w:rsid w:val="000403C5"/>
    <w:rsid w:val="000522AA"/>
    <w:rsid w:val="00064FB9"/>
    <w:rsid w:val="000A1857"/>
    <w:rsid w:val="000A514C"/>
    <w:rsid w:val="000B6D86"/>
    <w:rsid w:val="000D224E"/>
    <w:rsid w:val="000D2BA8"/>
    <w:rsid w:val="000D5039"/>
    <w:rsid w:val="000E371F"/>
    <w:rsid w:val="000E6304"/>
    <w:rsid w:val="00105B95"/>
    <w:rsid w:val="00114862"/>
    <w:rsid w:val="001151B8"/>
    <w:rsid w:val="001166DE"/>
    <w:rsid w:val="0012087C"/>
    <w:rsid w:val="001300F3"/>
    <w:rsid w:val="001312BC"/>
    <w:rsid w:val="00140795"/>
    <w:rsid w:val="001466C7"/>
    <w:rsid w:val="00151A4B"/>
    <w:rsid w:val="00184101"/>
    <w:rsid w:val="001A03EF"/>
    <w:rsid w:val="001B5641"/>
    <w:rsid w:val="001B7F53"/>
    <w:rsid w:val="001C0711"/>
    <w:rsid w:val="0021310F"/>
    <w:rsid w:val="002147C0"/>
    <w:rsid w:val="002239FE"/>
    <w:rsid w:val="00232E85"/>
    <w:rsid w:val="0026760C"/>
    <w:rsid w:val="0028528D"/>
    <w:rsid w:val="00293122"/>
    <w:rsid w:val="002955A8"/>
    <w:rsid w:val="00295B76"/>
    <w:rsid w:val="002A0E76"/>
    <w:rsid w:val="002B0A78"/>
    <w:rsid w:val="002B4EEA"/>
    <w:rsid w:val="002C453E"/>
    <w:rsid w:val="002E3969"/>
    <w:rsid w:val="002E3F14"/>
    <w:rsid w:val="003036BD"/>
    <w:rsid w:val="00305AFB"/>
    <w:rsid w:val="00307A4D"/>
    <w:rsid w:val="00312EFC"/>
    <w:rsid w:val="0031306D"/>
    <w:rsid w:val="00326548"/>
    <w:rsid w:val="00326AE3"/>
    <w:rsid w:val="003360AE"/>
    <w:rsid w:val="00336694"/>
    <w:rsid w:val="003626C4"/>
    <w:rsid w:val="00383595"/>
    <w:rsid w:val="003967A2"/>
    <w:rsid w:val="003B5C77"/>
    <w:rsid w:val="003C0267"/>
    <w:rsid w:val="00405355"/>
    <w:rsid w:val="00407135"/>
    <w:rsid w:val="00420EC9"/>
    <w:rsid w:val="00425C69"/>
    <w:rsid w:val="0044525B"/>
    <w:rsid w:val="00446B12"/>
    <w:rsid w:val="0047051C"/>
    <w:rsid w:val="00477D11"/>
    <w:rsid w:val="00482EEB"/>
    <w:rsid w:val="004A10A3"/>
    <w:rsid w:val="004B18D0"/>
    <w:rsid w:val="004B4DF2"/>
    <w:rsid w:val="004E2E62"/>
    <w:rsid w:val="004F487B"/>
    <w:rsid w:val="00502D99"/>
    <w:rsid w:val="0052152C"/>
    <w:rsid w:val="005519DA"/>
    <w:rsid w:val="00570475"/>
    <w:rsid w:val="00571267"/>
    <w:rsid w:val="005749E1"/>
    <w:rsid w:val="00576659"/>
    <w:rsid w:val="005841D8"/>
    <w:rsid w:val="005A1488"/>
    <w:rsid w:val="005B2B24"/>
    <w:rsid w:val="005D5D26"/>
    <w:rsid w:val="005E163A"/>
    <w:rsid w:val="005F1822"/>
    <w:rsid w:val="00620824"/>
    <w:rsid w:val="00627455"/>
    <w:rsid w:val="0066032A"/>
    <w:rsid w:val="00663E0F"/>
    <w:rsid w:val="00664737"/>
    <w:rsid w:val="006848F0"/>
    <w:rsid w:val="0069410B"/>
    <w:rsid w:val="006C690C"/>
    <w:rsid w:val="006D42B5"/>
    <w:rsid w:val="006E053F"/>
    <w:rsid w:val="0071135F"/>
    <w:rsid w:val="007218FA"/>
    <w:rsid w:val="00732654"/>
    <w:rsid w:val="0073268B"/>
    <w:rsid w:val="007328D5"/>
    <w:rsid w:val="00754E4B"/>
    <w:rsid w:val="0076105C"/>
    <w:rsid w:val="0077145A"/>
    <w:rsid w:val="007A7C88"/>
    <w:rsid w:val="007B3CD7"/>
    <w:rsid w:val="007C2C8D"/>
    <w:rsid w:val="007D6F61"/>
    <w:rsid w:val="007E5BCB"/>
    <w:rsid w:val="008256CF"/>
    <w:rsid w:val="00825CC0"/>
    <w:rsid w:val="00843224"/>
    <w:rsid w:val="00853E7A"/>
    <w:rsid w:val="00862AC1"/>
    <w:rsid w:val="00865922"/>
    <w:rsid w:val="008B2AF4"/>
    <w:rsid w:val="008C57F0"/>
    <w:rsid w:val="008E4D3F"/>
    <w:rsid w:val="008F56D8"/>
    <w:rsid w:val="00911510"/>
    <w:rsid w:val="00913ACF"/>
    <w:rsid w:val="00926E85"/>
    <w:rsid w:val="009415C9"/>
    <w:rsid w:val="00947D3E"/>
    <w:rsid w:val="00966CBC"/>
    <w:rsid w:val="00982290"/>
    <w:rsid w:val="00993443"/>
    <w:rsid w:val="009A59DE"/>
    <w:rsid w:val="009B63C9"/>
    <w:rsid w:val="009C0B3B"/>
    <w:rsid w:val="009E261C"/>
    <w:rsid w:val="009F78F3"/>
    <w:rsid w:val="00A00E11"/>
    <w:rsid w:val="00A10546"/>
    <w:rsid w:val="00A263F2"/>
    <w:rsid w:val="00A41F29"/>
    <w:rsid w:val="00A426D9"/>
    <w:rsid w:val="00A43A5D"/>
    <w:rsid w:val="00A46FB8"/>
    <w:rsid w:val="00A77840"/>
    <w:rsid w:val="00A85AAC"/>
    <w:rsid w:val="00A87126"/>
    <w:rsid w:val="00A97E0C"/>
    <w:rsid w:val="00AA2D6B"/>
    <w:rsid w:val="00AA46D8"/>
    <w:rsid w:val="00AB45E4"/>
    <w:rsid w:val="00AE65D3"/>
    <w:rsid w:val="00B13170"/>
    <w:rsid w:val="00B373CF"/>
    <w:rsid w:val="00B703EB"/>
    <w:rsid w:val="00BC63F4"/>
    <w:rsid w:val="00BD7792"/>
    <w:rsid w:val="00BF2B0A"/>
    <w:rsid w:val="00C008CD"/>
    <w:rsid w:val="00C03A03"/>
    <w:rsid w:val="00C22899"/>
    <w:rsid w:val="00C23545"/>
    <w:rsid w:val="00C25E7D"/>
    <w:rsid w:val="00C320AF"/>
    <w:rsid w:val="00C33AB5"/>
    <w:rsid w:val="00C40AD5"/>
    <w:rsid w:val="00C41704"/>
    <w:rsid w:val="00C461AA"/>
    <w:rsid w:val="00C4701F"/>
    <w:rsid w:val="00C471F1"/>
    <w:rsid w:val="00C52EEE"/>
    <w:rsid w:val="00C724B7"/>
    <w:rsid w:val="00C77964"/>
    <w:rsid w:val="00C83D77"/>
    <w:rsid w:val="00CA0A29"/>
    <w:rsid w:val="00CA25D5"/>
    <w:rsid w:val="00CC5AEF"/>
    <w:rsid w:val="00CC5EAA"/>
    <w:rsid w:val="00CD0D39"/>
    <w:rsid w:val="00CD1937"/>
    <w:rsid w:val="00CF251A"/>
    <w:rsid w:val="00CF684A"/>
    <w:rsid w:val="00D31CB8"/>
    <w:rsid w:val="00D66A18"/>
    <w:rsid w:val="00D803F2"/>
    <w:rsid w:val="00D95E73"/>
    <w:rsid w:val="00DA1375"/>
    <w:rsid w:val="00DA15A2"/>
    <w:rsid w:val="00DB2755"/>
    <w:rsid w:val="00DD3989"/>
    <w:rsid w:val="00DE69F9"/>
    <w:rsid w:val="00E13D20"/>
    <w:rsid w:val="00E458E7"/>
    <w:rsid w:val="00E5193F"/>
    <w:rsid w:val="00E54C09"/>
    <w:rsid w:val="00E57711"/>
    <w:rsid w:val="00E60557"/>
    <w:rsid w:val="00E83B70"/>
    <w:rsid w:val="00E87DD0"/>
    <w:rsid w:val="00E96815"/>
    <w:rsid w:val="00E97E43"/>
    <w:rsid w:val="00EB0870"/>
    <w:rsid w:val="00EC4F65"/>
    <w:rsid w:val="00EE4CAF"/>
    <w:rsid w:val="00F03A28"/>
    <w:rsid w:val="00F04EEF"/>
    <w:rsid w:val="00F07BDD"/>
    <w:rsid w:val="00F201B9"/>
    <w:rsid w:val="00F20618"/>
    <w:rsid w:val="00F3368D"/>
    <w:rsid w:val="00F354A9"/>
    <w:rsid w:val="00F464B4"/>
    <w:rsid w:val="00F738B3"/>
    <w:rsid w:val="00F73B6E"/>
    <w:rsid w:val="00F843AD"/>
    <w:rsid w:val="00FC5D7C"/>
    <w:rsid w:val="00FC7A4B"/>
    <w:rsid w:val="00FD31E9"/>
    <w:rsid w:val="00FE481C"/>
    <w:rsid w:val="00FE74D3"/>
    <w:rsid w:val="00FF2438"/>
    <w:rsid w:val="0127533C"/>
    <w:rsid w:val="02063383"/>
    <w:rsid w:val="0293394E"/>
    <w:rsid w:val="03CE5F43"/>
    <w:rsid w:val="03F3730B"/>
    <w:rsid w:val="046A5794"/>
    <w:rsid w:val="08DF02B7"/>
    <w:rsid w:val="0B256FB8"/>
    <w:rsid w:val="0C0479EE"/>
    <w:rsid w:val="0C2E5A84"/>
    <w:rsid w:val="0D5346DC"/>
    <w:rsid w:val="0FBA5F17"/>
    <w:rsid w:val="10FF73F8"/>
    <w:rsid w:val="11E33A22"/>
    <w:rsid w:val="11F56284"/>
    <w:rsid w:val="14814D0D"/>
    <w:rsid w:val="16F72C63"/>
    <w:rsid w:val="1991739F"/>
    <w:rsid w:val="19CE2C38"/>
    <w:rsid w:val="1A8A3DEE"/>
    <w:rsid w:val="1C4A4BFE"/>
    <w:rsid w:val="200B448F"/>
    <w:rsid w:val="2046376A"/>
    <w:rsid w:val="211F34E2"/>
    <w:rsid w:val="2328627B"/>
    <w:rsid w:val="249C309C"/>
    <w:rsid w:val="24D06B39"/>
    <w:rsid w:val="28ED12D9"/>
    <w:rsid w:val="28F96A90"/>
    <w:rsid w:val="29407375"/>
    <w:rsid w:val="29606D8E"/>
    <w:rsid w:val="2ACF5CB6"/>
    <w:rsid w:val="2BB64D67"/>
    <w:rsid w:val="2C4118F4"/>
    <w:rsid w:val="2D2A56E9"/>
    <w:rsid w:val="301A5EE8"/>
    <w:rsid w:val="30AF581B"/>
    <w:rsid w:val="31D71BB7"/>
    <w:rsid w:val="329D4BAF"/>
    <w:rsid w:val="34136D06"/>
    <w:rsid w:val="35097106"/>
    <w:rsid w:val="36820745"/>
    <w:rsid w:val="389B393F"/>
    <w:rsid w:val="39981C2C"/>
    <w:rsid w:val="3A1E0DD2"/>
    <w:rsid w:val="3B077069"/>
    <w:rsid w:val="3C0B5039"/>
    <w:rsid w:val="3D98260A"/>
    <w:rsid w:val="3DE47B36"/>
    <w:rsid w:val="401B78A4"/>
    <w:rsid w:val="42997141"/>
    <w:rsid w:val="42B31885"/>
    <w:rsid w:val="42EB554B"/>
    <w:rsid w:val="43120CA1"/>
    <w:rsid w:val="44104D93"/>
    <w:rsid w:val="44DE167D"/>
    <w:rsid w:val="452E1696"/>
    <w:rsid w:val="45EF5776"/>
    <w:rsid w:val="47084895"/>
    <w:rsid w:val="48E96000"/>
    <w:rsid w:val="4A5B4CDC"/>
    <w:rsid w:val="4A7828E3"/>
    <w:rsid w:val="4BD72140"/>
    <w:rsid w:val="4C5912FA"/>
    <w:rsid w:val="4DD41351"/>
    <w:rsid w:val="4EB66985"/>
    <w:rsid w:val="4F155DA1"/>
    <w:rsid w:val="4F636CB7"/>
    <w:rsid w:val="4FC45199"/>
    <w:rsid w:val="50666DE4"/>
    <w:rsid w:val="51A96C75"/>
    <w:rsid w:val="51FC6DA4"/>
    <w:rsid w:val="54170E10"/>
    <w:rsid w:val="544113E6"/>
    <w:rsid w:val="560F2D90"/>
    <w:rsid w:val="56BF65F2"/>
    <w:rsid w:val="5854769B"/>
    <w:rsid w:val="5883293E"/>
    <w:rsid w:val="59911107"/>
    <w:rsid w:val="599807F7"/>
    <w:rsid w:val="59D5227A"/>
    <w:rsid w:val="5BDD060D"/>
    <w:rsid w:val="5D465377"/>
    <w:rsid w:val="5E663D45"/>
    <w:rsid w:val="5F5B10F9"/>
    <w:rsid w:val="5FEB2206"/>
    <w:rsid w:val="61023512"/>
    <w:rsid w:val="611834CF"/>
    <w:rsid w:val="61686204"/>
    <w:rsid w:val="617F5559"/>
    <w:rsid w:val="622D4D58"/>
    <w:rsid w:val="648012FA"/>
    <w:rsid w:val="66367324"/>
    <w:rsid w:val="66CD6B09"/>
    <w:rsid w:val="692A0243"/>
    <w:rsid w:val="6BC56667"/>
    <w:rsid w:val="6CFE67F7"/>
    <w:rsid w:val="6CFF2AC4"/>
    <w:rsid w:val="6ED547AD"/>
    <w:rsid w:val="6F3A6C60"/>
    <w:rsid w:val="725D51E5"/>
    <w:rsid w:val="72DB1343"/>
    <w:rsid w:val="735465E8"/>
    <w:rsid w:val="73C3524E"/>
    <w:rsid w:val="75534B88"/>
    <w:rsid w:val="762A3631"/>
    <w:rsid w:val="77F725F8"/>
    <w:rsid w:val="793A6280"/>
    <w:rsid w:val="7B362A78"/>
    <w:rsid w:val="7BB37C24"/>
    <w:rsid w:val="7C5A5D62"/>
    <w:rsid w:val="7F540945"/>
    <w:rsid w:val="7FA501CC"/>
    <w:rsid w:val="7FA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705</Words>
  <Characters>781</Characters>
  <Lines>5</Lines>
  <Paragraphs>1</Paragraphs>
  <TotalTime>13</TotalTime>
  <ScaleCrop>false</ScaleCrop>
  <LinksUpToDate>false</LinksUpToDate>
  <CharactersWithSpaces>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2018-10-08T02:12:00Z</dcterms:created>
  <dc:creator>Windows 用户</dc:creator>
  <cp:lastModifiedBy>Hitomi</cp:lastModifiedBy>
  <cp:lastPrinted>2023-09-03T08:36:00Z</cp:lastPrinted>
  <dcterms:modified xsi:type="dcterms:W3CDTF">2026-03-03T03:30:25Z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E0D88C3F1FD04492833DE4CB71D344C0</vt:lpwstr>
  </property>
  <property fmtid="{D5CDD505-2E9C-101B-9397-08002B2CF9AE}" pid="4" name="KSOTemplateDocerSaveRecord">
    <vt:lpwstr>eyJoZGlkIjoiMDBlZWJiNDQ2NjQ2ZjUzMDU2ODk4ZTRkZmFhNGI1M2QiLCJ1c2VySWQiOiI3MTMwOTY0NTUifQ==</vt:lpwstr>
  </property>
</Properties>
</file>