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line="288" w:lineRule="auto"/>
        <w:ind w:right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西方语言文化学院</w:t>
      </w:r>
    </w:p>
    <w:p>
      <w:pPr>
        <w:widowControl w:val="0"/>
        <w:wordWrap/>
        <w:adjustRightInd/>
        <w:snapToGrid/>
        <w:spacing w:before="0" w:line="288" w:lineRule="auto"/>
        <w:ind w:right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本科毕业论文写作与排版说明</w:t>
      </w:r>
    </w:p>
    <w:p>
      <w:pPr>
        <w:widowControl w:val="0"/>
        <w:wordWrap/>
        <w:adjustRightInd/>
        <w:snapToGrid/>
        <w:spacing w:before="0" w:line="288" w:lineRule="auto"/>
        <w:ind w:right="0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（2014年9月制定）</w:t>
      </w:r>
    </w:p>
    <w:p>
      <w:pPr>
        <w:widowControl w:val="0"/>
        <w:wordWrap/>
        <w:adjustRightInd/>
        <w:snapToGrid/>
        <w:spacing w:before="0" w:line="288" w:lineRule="auto"/>
        <w:ind w:right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高等院校的本科毕业论文属于学术性文章，具有固定的格式与严格的写作要求。为使我院学生的毕业论文更符合外语专业相关学术规范，特对我院各专业的本科毕业论文写作与排版作以下说明，请全体毕业生照此执行。不尽之处，各系可根据各专业的语言特点制定统一标准予以执行。</w:t>
      </w:r>
    </w:p>
    <w:p>
      <w:pPr>
        <w:widowControl w:val="0"/>
        <w:wordWrap/>
        <w:adjustRightInd/>
        <w:snapToGrid/>
        <w:spacing w:before="0" w:line="288" w:lineRule="auto"/>
        <w:ind w:right="0" w:firstLine="480" w:firstLineChars="200"/>
        <w:textAlignment w:val="auto"/>
        <w:outlineLvl w:val="9"/>
        <w:rPr>
          <w:rFonts w:hint="eastAsia"/>
          <w:sz w:val="24"/>
          <w:szCs w:val="24"/>
        </w:rPr>
      </w:pP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排版顺序：</w:t>
      </w:r>
      <w:r>
        <w:rPr>
          <w:rFonts w:hint="eastAsia"/>
          <w:sz w:val="24"/>
          <w:szCs w:val="24"/>
        </w:rPr>
        <w:t>除汉语的标准封面以外，论文的构成部分依次是：外语封面、诚信声明、致谢词（Remerciements</w:t>
      </w:r>
      <w:r>
        <w:rPr>
          <w:rFonts w:hint="eastAsia"/>
          <w:sz w:val="24"/>
          <w:szCs w:val="24"/>
          <w:lang w:val="en-US" w:eastAsia="zh-CN"/>
        </w:rPr>
        <w:t xml:space="preserve">; </w:t>
      </w:r>
      <w:r>
        <w:rPr>
          <w:rFonts w:hint="eastAsia"/>
          <w:sz w:val="24"/>
          <w:szCs w:val="24"/>
        </w:rPr>
        <w:t>Danksagung</w:t>
      </w:r>
      <w:r>
        <w:rPr>
          <w:rFonts w:hint="eastAsia"/>
          <w:sz w:val="24"/>
          <w:szCs w:val="24"/>
          <w:lang w:val="en-US" w:eastAsia="zh-CN"/>
        </w:rPr>
        <w:t xml:space="preserve">; </w:t>
      </w:r>
      <w:r>
        <w:rPr>
          <w:rFonts w:hint="eastAsia"/>
          <w:sz w:val="24"/>
          <w:szCs w:val="24"/>
        </w:rPr>
        <w:t>Agradecimiento）、中文摘要与关键词、外文摘要与关键词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Resumé et Motsclés; Inhaltsangabe,Schl</w:t>
      </w:r>
      <w:r>
        <w:rPr>
          <w:rFonts w:hint="default"/>
          <w:sz w:val="24"/>
          <w:szCs w:val="24"/>
          <w:lang w:eastAsia="zh-CN"/>
        </w:rPr>
        <w:t>üsselworte</w:t>
      </w:r>
      <w:r>
        <w:rPr>
          <w:rFonts w:hint="eastAsia"/>
          <w:sz w:val="24"/>
          <w:szCs w:val="24"/>
          <w:lang w:val="en-US" w:eastAsia="zh-CN"/>
        </w:rPr>
        <w:t xml:space="preserve">; </w:t>
      </w:r>
      <w:r>
        <w:rPr>
          <w:rFonts w:hint="default"/>
          <w:sz w:val="24"/>
          <w:szCs w:val="24"/>
          <w:lang w:eastAsia="zh-CN"/>
        </w:rPr>
        <w:t>resumen</w:t>
      </w:r>
      <w:r>
        <w:rPr>
          <w:rFonts w:hint="eastAsia"/>
          <w:sz w:val="24"/>
          <w:szCs w:val="24"/>
          <w:lang w:val="en-US" w:eastAsia="zh-CN"/>
        </w:rPr>
        <w:t>, palabras clave)、</w:t>
      </w:r>
      <w:r>
        <w:rPr>
          <w:rFonts w:hint="eastAsia"/>
          <w:sz w:val="24"/>
          <w:szCs w:val="24"/>
        </w:rPr>
        <w:t>目录（T</w:t>
      </w:r>
      <w:r>
        <w:rPr>
          <w:rFonts w:hint="eastAsia"/>
          <w:sz w:val="24"/>
          <w:szCs w:val="24"/>
          <w:lang w:val="en-US" w:eastAsia="zh-CN"/>
        </w:rPr>
        <w:t>able des matières; Inhaltsverzeichnis; Indice</w:t>
      </w:r>
      <w:r>
        <w:rPr>
          <w:rFonts w:hint="eastAsia"/>
          <w:sz w:val="24"/>
          <w:szCs w:val="24"/>
        </w:rPr>
        <w:t>）、引言（I</w:t>
      </w:r>
      <w:r>
        <w:rPr>
          <w:rFonts w:hint="eastAsia"/>
          <w:sz w:val="24"/>
          <w:szCs w:val="24"/>
          <w:lang w:val="en-US" w:eastAsia="zh-CN"/>
        </w:rPr>
        <w:t>ntroduction; Einleitung; Introduccion</w:t>
      </w:r>
      <w:r>
        <w:rPr>
          <w:rFonts w:hint="eastAsia"/>
          <w:sz w:val="24"/>
          <w:szCs w:val="24"/>
        </w:rPr>
        <w:t>）、正文（可分为几章或几部分）、结论（C</w:t>
      </w:r>
      <w:r>
        <w:rPr>
          <w:rFonts w:hint="eastAsia"/>
          <w:sz w:val="24"/>
          <w:szCs w:val="24"/>
          <w:lang w:val="en-US" w:eastAsia="zh-CN"/>
        </w:rPr>
        <w:t>onclusion; Zusammenfassung; conclusion</w:t>
      </w:r>
      <w:r>
        <w:rPr>
          <w:rFonts w:hint="eastAsia"/>
          <w:sz w:val="24"/>
          <w:szCs w:val="24"/>
        </w:rPr>
        <w:t>）和参考书目（B</w:t>
      </w:r>
      <w:r>
        <w:rPr>
          <w:rFonts w:hint="eastAsia"/>
          <w:sz w:val="24"/>
          <w:szCs w:val="24"/>
          <w:lang w:val="en-US" w:eastAsia="zh-CN"/>
        </w:rPr>
        <w:t>ibliographie; Literaturverzeichnis; Indice</w:t>
      </w:r>
      <w:r>
        <w:rPr>
          <w:rFonts w:hint="eastAsia"/>
          <w:sz w:val="24"/>
          <w:szCs w:val="24"/>
        </w:rPr>
        <w:t>）。</w:t>
      </w:r>
    </w:p>
    <w:p>
      <w:pPr>
        <w:pStyle w:val="13"/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b/>
          <w:bCs/>
          <w:color w:val="FF0000"/>
          <w:sz w:val="24"/>
          <w:szCs w:val="24"/>
        </w:rPr>
        <w:t>注意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:</w:t>
      </w:r>
      <w:r>
        <w:rPr>
          <w:rFonts w:hint="default"/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</w:rPr>
        <w:t>I</w:t>
      </w:r>
      <w:r>
        <w:rPr>
          <w:rFonts w:hint="eastAsia"/>
          <w:sz w:val="24"/>
          <w:szCs w:val="24"/>
          <w:lang w:val="en-US" w:eastAsia="zh-CN"/>
        </w:rPr>
        <w:t>ntroduction; Einleitung; Introduccion</w:t>
      </w:r>
      <w:r>
        <w:rPr>
          <w:rFonts w:hint="default"/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与</w:t>
      </w:r>
      <w:r>
        <w:rPr>
          <w:rFonts w:hint="default"/>
          <w:sz w:val="24"/>
          <w:szCs w:val="24"/>
          <w:lang w:val="en-US" w:eastAsia="zh-CN"/>
        </w:rPr>
        <w:t>“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  <w:lang w:val="en-US" w:eastAsia="zh-CN"/>
        </w:rPr>
        <w:t>onclusion; Zusammenfassung; conclusion</w:t>
      </w:r>
      <w:r>
        <w:rPr>
          <w:rFonts w:hint="default"/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都不加任何数字或章节号。</w:t>
      </w:r>
      <w:r>
        <w:rPr>
          <w:rFonts w:hint="eastAsia"/>
          <w:sz w:val="24"/>
          <w:szCs w:val="24"/>
        </w:rPr>
        <w:t>）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双面打印版式：</w:t>
      </w:r>
      <w:r>
        <w:rPr>
          <w:rFonts w:hint="eastAsia"/>
          <w:sz w:val="24"/>
          <w:szCs w:val="24"/>
        </w:rPr>
        <w:t>毕业论文统一使用A4版面，竖向横排，正文双面打印；其余部分单面打印。版面的边距设为上、下页边距2.5cm，左为3cm，右为2cm。未特殊注明的，均为两端对齐，不加粗，段前段后间距为0。一般情况下，打开Word新文档，都是这个规格的页边距。如果你的Word设置已经有了修改，只要打开工具栏中的“文件”，接着点击打开“页面设置”，将“页边距”项目中对话框的设置数字修改为上述数字，点击“确定”即可。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字号：</w:t>
      </w:r>
      <w:r>
        <w:rPr>
          <w:rFonts w:hint="eastAsia"/>
          <w:sz w:val="24"/>
          <w:szCs w:val="24"/>
        </w:rPr>
        <w:t>外文采用Times New Roman字体，中文采用宋体。正文字体大小为中文的小四号（等同于西文的12磅）。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外文封面：</w:t>
      </w:r>
      <w:r>
        <w:rPr>
          <w:rFonts w:hint="eastAsia"/>
          <w:b w:val="0"/>
          <w:bCs w:val="0"/>
          <w:sz w:val="24"/>
          <w:szCs w:val="24"/>
          <w:lang w:eastAsia="zh-CN"/>
        </w:rPr>
        <w:t>标题为二号加粗，间距段前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7行；作者、指导老师、时间地点为小二加粗，</w:t>
      </w:r>
      <w:r>
        <w:rPr>
          <w:rFonts w:hint="eastAsia"/>
          <w:b w:val="0"/>
          <w:bCs w:val="0"/>
          <w:sz w:val="24"/>
          <w:szCs w:val="24"/>
          <w:lang w:eastAsia="zh-CN"/>
        </w:rPr>
        <w:t>间距段前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6行。</w:t>
      </w: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(选择所要文字，右击选择“段落”，在间距段前处输入行数）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两</w:t>
      </w:r>
      <w:r>
        <w:rPr>
          <w:rFonts w:hint="eastAsia"/>
          <w:b/>
          <w:sz w:val="24"/>
          <w:szCs w:val="24"/>
          <w:lang w:eastAsia="zh-CN"/>
        </w:rPr>
        <w:t>端</w:t>
      </w:r>
      <w:r>
        <w:rPr>
          <w:rFonts w:hint="eastAsia"/>
          <w:b/>
          <w:sz w:val="24"/>
          <w:szCs w:val="24"/>
        </w:rPr>
        <w:t>：</w:t>
      </w:r>
      <w:r>
        <w:rPr>
          <w:rFonts w:hint="eastAsia"/>
          <w:sz w:val="24"/>
          <w:szCs w:val="24"/>
        </w:rPr>
        <w:t>一级标题要居中，二级、三级标题要左对齐，正文文字要两端对齐。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行距：</w:t>
      </w:r>
      <w:r>
        <w:rPr>
          <w:rFonts w:hint="eastAsia"/>
          <w:sz w:val="24"/>
          <w:szCs w:val="24"/>
        </w:rPr>
        <w:t>正文为1.5倍行距，脚注为单倍行距。请在Word工具栏的“格式”中，点击“段落”，在“行距”对话框中选择。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段前段后：</w:t>
      </w:r>
      <w:r>
        <w:rPr>
          <w:rFonts w:hint="eastAsia"/>
          <w:sz w:val="24"/>
          <w:szCs w:val="24"/>
        </w:rPr>
        <w:t>在设置标题的级别以后，标题行的前后空格会自动变成“自动”。因此，在全篇论文的所有标题级别设置都不再改动的情况下，要在“编辑”中点击“全选”，然后再点击工具栏之“格式”，接着点击“段落”，在“缩进和间距”项的“段前段后”对话框中选择“0行”，点击确定。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论文题目：</w:t>
      </w:r>
      <w:r>
        <w:rPr>
          <w:rFonts w:hint="eastAsia"/>
          <w:sz w:val="24"/>
          <w:szCs w:val="24"/>
        </w:rPr>
        <w:t>论文是科学性的学术产品，不是主观性、抒情性的文学作品。因此，题目要简明，词语要准确，意思要明晰。不要使用抒情性的句子。除非确实必须，尽量不要用副标题。论文的外文题目采用Times New Roman字体，中文采用宋体。</w:t>
      </w:r>
    </w:p>
    <w:p>
      <w:pPr>
        <w:pStyle w:val="13"/>
        <w:widowControl w:val="0"/>
        <w:numPr>
          <w:ilvl w:val="0"/>
          <w:numId w:val="1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  <w:highlight w:val="yellow"/>
        </w:rPr>
      </w:pPr>
      <w:r>
        <w:rPr>
          <w:rFonts w:hint="eastAsia"/>
          <w:b/>
          <w:sz w:val="24"/>
          <w:szCs w:val="24"/>
        </w:rPr>
        <w:t>标题的级别：</w:t>
      </w:r>
      <w:r>
        <w:rPr>
          <w:rFonts w:hint="eastAsia"/>
          <w:sz w:val="24"/>
          <w:szCs w:val="24"/>
        </w:rPr>
        <w:t>“致谢词”、 “摘要”、 “目录”、 “引言”、 “结论”和“参考书目”都属于一级标题。正文可分为几章或几部分，每一章或部分的标题都是一级标题。</w:t>
      </w:r>
      <w:r>
        <w:rPr>
          <w:rFonts w:hint="eastAsia"/>
          <w:sz w:val="24"/>
          <w:szCs w:val="24"/>
          <w:highlight w:val="yellow"/>
          <w:lang w:eastAsia="zh-CN"/>
        </w:rPr>
        <w:t>每一章或一级标题需另起一页！！</w:t>
      </w:r>
    </w:p>
    <w:p>
      <w:pPr>
        <w:pStyle w:val="13"/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为了使层次清晰，每一章都应该分为几节，每一节都分为几小</w:t>
      </w:r>
      <w:r>
        <w:rPr>
          <w:rFonts w:hint="eastAsia"/>
          <w:sz w:val="24"/>
          <w:szCs w:val="24"/>
          <w:lang w:eastAsia="zh-CN"/>
        </w:rPr>
        <w:t>段</w:t>
      </w:r>
      <w:r>
        <w:rPr>
          <w:rFonts w:hint="eastAsia"/>
          <w:sz w:val="24"/>
          <w:szCs w:val="24"/>
        </w:rPr>
        <w:t>。每一节的题目是二级标题，每一小节的题目是三级标题。本科毕业论文篇幅小，最多分为三级标题。</w:t>
      </w:r>
    </w:p>
    <w:p>
      <w:pPr>
        <w:pStyle w:val="13"/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10、</w:t>
      </w:r>
      <w:r>
        <w:rPr>
          <w:rFonts w:hint="eastAsia"/>
          <w:b/>
          <w:sz w:val="24"/>
          <w:szCs w:val="24"/>
        </w:rPr>
        <w:t>标题的字号与大小写：</w:t>
      </w:r>
      <w:r>
        <w:rPr>
          <w:rFonts w:hint="eastAsia"/>
          <w:sz w:val="24"/>
          <w:szCs w:val="24"/>
        </w:rPr>
        <w:t>一级标题字号大小为中文的小二号，二级为小三号，三级为四号。一级标题的全部字母都要大写。一级、二级标题都要加粗加黑，以便醒目。三级标题不加粗不加黑。</w:t>
      </w:r>
    </w:p>
    <w:p>
      <w:pPr>
        <w:widowControl w:val="0"/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</w:t>
      </w: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段首空格：</w:t>
      </w:r>
      <w:r>
        <w:rPr>
          <w:rFonts w:hint="eastAsia"/>
          <w:sz w:val="24"/>
          <w:szCs w:val="24"/>
        </w:rPr>
        <w:t>汉语部分“摘要”每段的第一行留2字符的空格；</w:t>
      </w:r>
      <w:r>
        <w:rPr>
          <w:rFonts w:hint="eastAsia"/>
          <w:sz w:val="24"/>
          <w:szCs w:val="24"/>
          <w:highlight w:val="yellow"/>
        </w:rPr>
        <w:t>外文正文的每一段开头留1厘米的空格</w:t>
      </w:r>
      <w:r>
        <w:rPr>
          <w:rFonts w:hint="eastAsia"/>
          <w:sz w:val="24"/>
          <w:szCs w:val="24"/>
        </w:rPr>
        <w:t>。请在Word工具栏的“格式”中，点击“段落”，在“特殊格式”对话框中选择“首行缩进”，在其右边的话框中根据需要，选择或输入“1厘米”，然后点击下面的“确定”即可。</w:t>
      </w:r>
    </w:p>
    <w:p>
      <w:pPr>
        <w:widowControl w:val="0"/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</w:t>
      </w:r>
      <w:r>
        <w:rPr>
          <w:rFonts w:hint="eastAsia"/>
          <w:b w:val="0"/>
          <w:bCs/>
          <w:sz w:val="24"/>
          <w:szCs w:val="24"/>
          <w:lang w:val="en-US" w:eastAsia="zh-CN"/>
        </w:rPr>
        <w:t>2</w:t>
      </w:r>
      <w:r>
        <w:rPr>
          <w:rFonts w:hint="eastAsia"/>
          <w:b w:val="0"/>
          <w:bCs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引文：</w:t>
      </w:r>
      <w:r>
        <w:rPr>
          <w:rFonts w:hint="eastAsia"/>
          <w:sz w:val="24"/>
          <w:szCs w:val="24"/>
        </w:rPr>
        <w:t>直接引语法语、西班牙</w:t>
      </w:r>
      <w:r>
        <w:rPr>
          <w:rFonts w:hint="eastAsia"/>
          <w:sz w:val="24"/>
          <w:szCs w:val="24"/>
          <w:lang w:eastAsia="zh-CN"/>
        </w:rPr>
        <w:t>语</w:t>
      </w:r>
      <w:r>
        <w:rPr>
          <w:rFonts w:hint="eastAsia"/>
          <w:sz w:val="24"/>
          <w:szCs w:val="24"/>
        </w:rPr>
        <w:t>专业采用引号《》；引号中的引号，采用英文的双引号“”；德语专业采用</w:t>
      </w:r>
      <w:r>
        <w:rPr>
          <w:rFonts w:hint="default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„“</w:t>
      </w:r>
      <w:r>
        <w:rPr>
          <w:rFonts w:hint="default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引号。</w:t>
      </w:r>
    </w:p>
    <w:p>
      <w:pPr>
        <w:widowControl w:val="0"/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注意：</w:t>
      </w:r>
      <w:r>
        <w:rPr>
          <w:rFonts w:hint="eastAsia"/>
          <w:sz w:val="24"/>
          <w:szCs w:val="24"/>
        </w:rPr>
        <w:t>超过四行的引文应该处理成单列的形式，不使用引号，整段左边缩进1厘米，以便与正文其他部分的段首空格相同。单列引文的第一行是否要缩进1厘米，则根据其与上文的衔接程度决定。如果是一段单独完整的引文，上面是以冒号或句号结束，引文首行</w:t>
      </w:r>
      <w:r>
        <w:rPr>
          <w:rFonts w:hint="eastAsia"/>
          <w:sz w:val="24"/>
          <w:szCs w:val="24"/>
          <w:lang w:eastAsia="zh-CN"/>
        </w:rPr>
        <w:t>一般</w:t>
      </w:r>
      <w:r>
        <w:rPr>
          <w:rFonts w:hint="eastAsia"/>
          <w:sz w:val="24"/>
          <w:szCs w:val="24"/>
        </w:rPr>
        <w:t>应该缩进1厘米；如果上面是以逗号、分号等结束，则引文首行不再缩进。</w:t>
      </w:r>
    </w:p>
    <w:p>
      <w:pPr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13、</w:t>
      </w:r>
      <w:r>
        <w:rPr>
          <w:rFonts w:hint="eastAsia"/>
          <w:b/>
          <w:sz w:val="24"/>
          <w:szCs w:val="24"/>
        </w:rPr>
        <w:t>脚注：</w:t>
      </w:r>
      <w:r>
        <w:rPr>
          <w:rFonts w:hint="eastAsia"/>
          <w:sz w:val="24"/>
          <w:szCs w:val="24"/>
        </w:rPr>
        <w:t>引文必须加页下注，即脚注，其格式参见15参考书目要求，须标明页码，以说明资料出处。如果是根据别人的资料整理总结，虽然是用自己的话表达了意思，仍需要加页下注，说明所参考的书籍、文章等。</w:t>
      </w:r>
    </w:p>
    <w:p>
      <w:pPr>
        <w:widowControl w:val="0"/>
        <w:numPr>
          <w:numId w:val="0"/>
        </w:numPr>
        <w:wordWrap/>
        <w:adjustRightInd/>
        <w:snapToGrid/>
        <w:spacing w:before="0" w:line="288" w:lineRule="auto"/>
        <w:ind w:right="0"/>
        <w:textAlignment w:val="auto"/>
        <w:outlineLvl w:val="9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脚注应该采用自动插入的方式。方法是：将鼠标停留在要加注的地方，点击打开工具栏的“插入”，然后点击打开“引用”，再点击打开“脚注和引用”对话框，选择“脚注”，在编号格式对话框中选择“</w:t>
      </w:r>
      <w:r>
        <w:rPr>
          <w:rFonts w:hint="eastAsia"/>
          <w:sz w:val="24"/>
          <w:szCs w:val="24"/>
          <w:lang w:val="en-US" w:eastAsia="zh-CN"/>
        </w:rPr>
        <w:t>1, 2, 3”，在编号方式对话框中选择“连续”，“将更改应用于”对话框中选择“整篇文档”，接着点击“插入”。</w:t>
      </w:r>
    </w:p>
    <w:p>
      <w:pPr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14、 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目录：</w:t>
      </w:r>
      <w:r>
        <w:rPr>
          <w:rFonts w:hint="eastAsia" w:ascii="宋体" w:hAnsi="宋体"/>
          <w:sz w:val="24"/>
          <w:szCs w:val="24"/>
          <w:lang w:val="en-US" w:eastAsia="zh-CN"/>
        </w:rPr>
        <w:t>请采用word的自动插入目录功能。前提是将一级、二级、三级标题都做好。在外文与中文摘要与关键词之后，根据目录行数多少，预留一页或多页空白。随后点击工具栏中的“插入”，接着点击“引用”，再点击“索引和目录”，在其中选择“目录”，并在选择“显示页码”和“页码右对齐”两个话框前选择打钩。最后点击“确定”，目录即自动插入指定位置。</w:t>
      </w:r>
    </w:p>
    <w:p>
      <w:pPr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15、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页码：</w:t>
      </w:r>
      <w:r>
        <w:rPr>
          <w:rFonts w:hint="eastAsia" w:ascii="宋体" w:hAnsi="宋体"/>
          <w:sz w:val="24"/>
          <w:szCs w:val="24"/>
          <w:lang w:val="en-US" w:eastAsia="zh-CN"/>
        </w:rPr>
        <w:t>从正文引言部分开始计算页码，采用阿拉伯数字，位置在页面底端右侧（即页脚）。正文之前的部分（扉页、致谢词、中外文摘要和目录）以罗马数字（Ⅰ，Ⅱ，Ⅲ...）来标记页码。位置在页面底端居中（即页脚）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before="0" w:line="288" w:lineRule="auto"/>
        <w:ind w:left="0" w:leftChars="0" w:right="0" w:firstLine="2" w:firstLineChars="0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参考书目：</w:t>
      </w:r>
      <w:r>
        <w:rPr>
          <w:rFonts w:hint="eastAsia" w:ascii="宋体" w:hAnsi="宋体" w:eastAsia="宋体"/>
          <w:sz w:val="24"/>
          <w:szCs w:val="24"/>
        </w:rPr>
        <w:t>参考书目是将脚注中出现过的文献集中起来，删除重复者，然后分类（西文文献在前，中文文献在后）编号并排序。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外文参考文献应不少于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3本，中文参考文献应不少于5本。</w:t>
      </w:r>
    </w:p>
    <w:p>
      <w:pPr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 w:firstLine="480" w:firstLineChars="200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西文文献，作者姓前名后，采用Times New Roman字体，小四字号，按作者姓氏的拉丁字母顺序编号; 西文文章标题，书名与期刊名均以</w:t>
      </w:r>
      <w:r>
        <w:rPr>
          <w:rFonts w:hint="eastAsia" w:ascii="宋体" w:hAnsi="宋体" w:eastAsia="宋体"/>
          <w:i/>
          <w:sz w:val="24"/>
          <w:szCs w:val="24"/>
        </w:rPr>
        <w:t>斜体</w:t>
      </w:r>
      <w:r>
        <w:rPr>
          <w:rFonts w:hint="eastAsia" w:ascii="宋体" w:hAnsi="宋体"/>
          <w:i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标示。</w:t>
      </w:r>
    </w:p>
    <w:p>
      <w:pPr>
        <w:widowControl w:val="0"/>
        <w:numPr>
          <w:numId w:val="0"/>
        </w:numPr>
        <w:wordWrap/>
        <w:adjustRightInd/>
        <w:snapToGrid/>
        <w:spacing w:before="0" w:line="288" w:lineRule="auto"/>
        <w:ind w:left="2" w:leftChars="0" w:right="0" w:firstLine="480" w:firstLineChars="200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文文献，采用宋体，小四字号，按作者姓氏的汉语拼音字母排序。同一作者的多个资料，按照出版时间先后顺序排列。中文文章标题，书名与期刊名用书名号《》标示，各类文献信息组成部分与格式略有不同，具体参考下例。</w:t>
      </w:r>
    </w:p>
    <w:p>
      <w:pPr>
        <w:widowControl w:val="0"/>
        <w:wordWrap/>
        <w:adjustRightInd/>
        <w:snapToGrid/>
        <w:spacing w:before="0" w:line="288" w:lineRule="auto"/>
        <w:ind w:right="0" w:firstLine="480" w:firstLineChars="200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A.</w:t>
      </w:r>
      <w:r>
        <w:rPr>
          <w:rFonts w:hint="eastAsia" w:ascii="宋体" w:hAnsi="宋体"/>
          <w:b/>
          <w:sz w:val="24"/>
          <w:szCs w:val="24"/>
        </w:rPr>
        <w:t>期刊论文</w:t>
      </w:r>
      <w:r>
        <w:rPr>
          <w:rFonts w:ascii="宋体" w:hAnsi="宋体"/>
          <w:b/>
          <w:sz w:val="24"/>
          <w:szCs w:val="24"/>
        </w:rPr>
        <w:t xml:space="preserve">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>]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作</w:t>
      </w:r>
      <w:r>
        <w:rPr>
          <w:rFonts w:ascii="宋体" w:hAnsi="宋体"/>
          <w:sz w:val="24"/>
          <w:szCs w:val="24"/>
        </w:rPr>
        <w:t>者</w:t>
      </w:r>
      <w:r>
        <w:rPr>
          <w:rFonts w:hint="eastAsia" w:ascii="宋体" w:hAnsi="宋体"/>
          <w:sz w:val="24"/>
          <w:szCs w:val="24"/>
        </w:rPr>
        <w:t>: 文章标题</w:t>
      </w:r>
      <w:r>
        <w:rPr>
          <w:rFonts w:ascii="宋体" w:hAnsi="宋体"/>
          <w:sz w:val="24"/>
          <w:szCs w:val="24"/>
        </w:rPr>
        <w:t xml:space="preserve">．刊名，出版年份(期号) </w:t>
      </w:r>
    </w:p>
    <w:p>
      <w:pPr>
        <w:widowControl w:val="0"/>
        <w:wordWrap/>
        <w:adjustRightInd/>
        <w:snapToGrid/>
        <w:spacing w:before="0" w:line="288" w:lineRule="auto"/>
        <w:ind w:right="0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[1]陈国权:</w:t>
      </w:r>
      <w:r>
        <w:rPr>
          <w:rFonts w:hint="eastAsia" w:ascii="宋体" w:hAnsi="宋体" w:eastAsia="宋体"/>
          <w:i w:val="0"/>
          <w:iCs w:val="0"/>
          <w:sz w:val="24"/>
          <w:szCs w:val="24"/>
        </w:rPr>
        <w:t>《新中国学人留学德国回顾与前瞻》.《德国研究》</w:t>
      </w:r>
      <w:r>
        <w:rPr>
          <w:rFonts w:hint="eastAsia" w:ascii="宋体" w:hAnsi="宋体" w:eastAsia="宋体"/>
          <w:sz w:val="24"/>
          <w:szCs w:val="24"/>
        </w:rPr>
        <w:t>，1998 (1)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[2]</w:t>
      </w:r>
      <w:r>
        <w:rPr>
          <w:sz w:val="24"/>
          <w:szCs w:val="24"/>
        </w:rPr>
        <w:t>Silverberg, William V.</w:t>
      </w:r>
      <w:r>
        <w:rPr>
          <w:rFonts w:hint="eastAsia"/>
          <w:sz w:val="24"/>
          <w:szCs w:val="24"/>
        </w:rPr>
        <w:t xml:space="preserve"> </w:t>
      </w:r>
      <w:r>
        <w:rPr>
          <w:i/>
          <w:sz w:val="24"/>
          <w:szCs w:val="24"/>
        </w:rPr>
        <w:t>On the psychological significance of</w:t>
      </w:r>
      <w:r>
        <w:rPr>
          <w:rFonts w:hint="eastAsia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„Du“ and „ Sie“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</w:t>
      </w:r>
      <w:r>
        <w:rPr>
          <w:i/>
          <w:sz w:val="24"/>
          <w:szCs w:val="24"/>
        </w:rPr>
        <w:t>The psychoanalytic quarterly</w:t>
      </w:r>
      <w:r>
        <w:rPr>
          <w:sz w:val="24"/>
          <w:szCs w:val="24"/>
        </w:rPr>
        <w:t>, 1940 ( 9)</w:t>
      </w:r>
    </w:p>
    <w:p>
      <w:pPr>
        <w:widowControl w:val="0"/>
        <w:wordWrap/>
        <w:adjustRightInd/>
        <w:snapToGrid/>
        <w:spacing w:before="0" w:line="288" w:lineRule="auto"/>
        <w:ind w:left="360" w:leftChars="43" w:right="0" w:hanging="240" w:hangingChars="100"/>
        <w:textAlignment w:val="auto"/>
        <w:outlineLvl w:val="9"/>
        <w:rPr>
          <w:i/>
          <w:sz w:val="24"/>
          <w:szCs w:val="24"/>
        </w:rPr>
      </w:pPr>
      <w:r>
        <w:rPr>
          <w:rFonts w:hint="eastAsia"/>
          <w:sz w:val="24"/>
          <w:szCs w:val="24"/>
        </w:rPr>
        <w:t>[3]</w:t>
      </w:r>
      <w:r>
        <w:rPr>
          <w:sz w:val="24"/>
          <w:szCs w:val="24"/>
        </w:rPr>
        <w:t>Ni, Renfu</w:t>
      </w:r>
      <w:r>
        <w:rPr>
          <w:i/>
          <w:sz w:val="24"/>
          <w:szCs w:val="24"/>
        </w:rPr>
        <w:t xml:space="preserve">: Aufgabe und/oder </w:t>
      </w:r>
      <w:r>
        <w:rPr>
          <w:rFonts w:hint="eastAsia"/>
          <w:i/>
          <w:sz w:val="24"/>
          <w:szCs w:val="24"/>
        </w:rPr>
        <w:t>Ü</w:t>
      </w:r>
      <w:r>
        <w:rPr>
          <w:i/>
          <w:sz w:val="24"/>
          <w:szCs w:val="24"/>
        </w:rPr>
        <w:t>bung. Bedeutungen zu meinem Begriffspaar—mit</w:t>
      </w:r>
      <w:r>
        <w:rPr>
          <w:rFonts w:hint="eastAsia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praktischen Beispielen.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Fremdsprache Deutsch, 1994(10)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B.专著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>]作者：书</w:t>
      </w:r>
      <w:r>
        <w:rPr>
          <w:rFonts w:ascii="宋体" w:hAnsi="宋体"/>
          <w:sz w:val="24"/>
          <w:szCs w:val="24"/>
        </w:rPr>
        <w:t>名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 xml:space="preserve">出版地：出版者，出版年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[4]陈向明：</w:t>
      </w:r>
      <w:r>
        <w:rPr>
          <w:rFonts w:hint="eastAsia" w:ascii="宋体" w:hAnsi="宋体"/>
          <w:i w:val="0"/>
          <w:iCs w:val="0"/>
          <w:sz w:val="24"/>
          <w:szCs w:val="24"/>
        </w:rPr>
        <w:t>《旅居者和“外国人”——留美中国学生跨文化人际交往研究》</w:t>
      </w:r>
      <w:r>
        <w:rPr>
          <w:rFonts w:hint="eastAsia" w:ascii="宋体" w:hAnsi="宋体"/>
          <w:sz w:val="24"/>
          <w:szCs w:val="24"/>
        </w:rPr>
        <w:t>.北京:教育科学出版社,2004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[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]Thomas,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Alexander: </w:t>
      </w:r>
      <w:r>
        <w:rPr>
          <w:i/>
          <w:sz w:val="24"/>
          <w:szCs w:val="24"/>
        </w:rPr>
        <w:t>Kulturvergleichende Psychologie.</w:t>
      </w:r>
      <w:r>
        <w:rPr>
          <w:sz w:val="24"/>
          <w:szCs w:val="24"/>
        </w:rPr>
        <w:t xml:space="preserve"> Göttingen: Hogrefe Verlag, 2003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i/>
          <w:sz w:val="24"/>
          <w:szCs w:val="24"/>
        </w:rPr>
      </w:pPr>
      <w:r>
        <w:rPr>
          <w:rFonts w:hint="eastAsia"/>
          <w:sz w:val="24"/>
          <w:szCs w:val="24"/>
        </w:rPr>
        <w:t xml:space="preserve">[6]Straub, </w:t>
      </w:r>
      <w:r>
        <w:rPr>
          <w:sz w:val="24"/>
          <w:szCs w:val="24"/>
        </w:rPr>
        <w:t>Jü</w:t>
      </w:r>
      <w:r>
        <w:rPr>
          <w:rFonts w:hint="eastAsia"/>
          <w:sz w:val="24"/>
          <w:szCs w:val="24"/>
        </w:rPr>
        <w:t xml:space="preserve">rgen: </w:t>
      </w:r>
      <w:r>
        <w:rPr>
          <w:rFonts w:hint="eastAsia"/>
          <w:i/>
          <w:sz w:val="24"/>
          <w:szCs w:val="24"/>
        </w:rPr>
        <w:t>Handlung, Interpretation, Kritik. Grund</w:t>
      </w:r>
      <w:r>
        <w:rPr>
          <w:i/>
          <w:sz w:val="24"/>
          <w:szCs w:val="24"/>
        </w:rPr>
        <w:t>zü</w:t>
      </w:r>
      <w:r>
        <w:rPr>
          <w:rFonts w:hint="eastAsia"/>
          <w:i/>
          <w:sz w:val="24"/>
          <w:szCs w:val="24"/>
        </w:rPr>
        <w:t xml:space="preserve">ge einer textwissenschaftlichen </w:t>
      </w:r>
      <w:r>
        <w:rPr>
          <w:i/>
          <w:sz w:val="24"/>
          <w:szCs w:val="24"/>
        </w:rPr>
        <w:t xml:space="preserve">Handlungs- und Kulturpsychologie. </w:t>
      </w:r>
      <w:r>
        <w:rPr>
          <w:sz w:val="24"/>
          <w:szCs w:val="24"/>
        </w:rPr>
        <w:t>Berlin/New York: de Gruyter, 1999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C</w:t>
      </w:r>
      <w:r>
        <w:rPr>
          <w:rFonts w:ascii="宋体" w:hAnsi="宋体"/>
          <w:b/>
          <w:sz w:val="24"/>
          <w:szCs w:val="24"/>
        </w:rPr>
        <w:t xml:space="preserve">.学位论文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>]作者: 论文题名：学位论文级别．保存地点：保存单位，答辩年份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[7] </w:t>
      </w:r>
      <w:r>
        <w:rPr>
          <w:rFonts w:ascii="宋体" w:hAnsi="宋体"/>
          <w:sz w:val="24"/>
          <w:szCs w:val="24"/>
        </w:rPr>
        <w:t>张和生</w:t>
      </w:r>
      <w:r>
        <w:rPr>
          <w:rFonts w:hint="eastAsia" w:ascii="宋体" w:hAnsi="宋体"/>
          <w:sz w:val="24"/>
          <w:szCs w:val="24"/>
        </w:rPr>
        <w:t>:</w:t>
      </w:r>
      <w:r>
        <w:rPr>
          <w:rFonts w:hint="eastAsia" w:ascii="宋体" w:hAnsi="宋体"/>
          <w:i w:val="0"/>
          <w:iCs w:val="0"/>
          <w:sz w:val="24"/>
          <w:szCs w:val="24"/>
        </w:rPr>
        <w:t>《</w:t>
      </w:r>
      <w:r>
        <w:rPr>
          <w:rFonts w:ascii="宋体" w:hAnsi="宋体"/>
          <w:i w:val="0"/>
          <w:iCs w:val="0"/>
          <w:sz w:val="24"/>
          <w:szCs w:val="24"/>
        </w:rPr>
        <w:t>地质力学系统理论</w:t>
      </w:r>
      <w:r>
        <w:rPr>
          <w:rFonts w:hint="eastAsia" w:ascii="宋体" w:hAnsi="宋体"/>
          <w:i w:val="0"/>
          <w:iCs w:val="0"/>
          <w:sz w:val="24"/>
          <w:szCs w:val="24"/>
        </w:rPr>
        <w:t>》：</w:t>
      </w:r>
      <w:r>
        <w:rPr>
          <w:rFonts w:hint="eastAsia" w:ascii="宋体" w:hAnsi="宋体"/>
          <w:sz w:val="24"/>
          <w:szCs w:val="24"/>
        </w:rPr>
        <w:t>博士学位论文</w:t>
      </w:r>
      <w:r>
        <w:rPr>
          <w:rFonts w:ascii="宋体" w:hAnsi="宋体"/>
          <w:sz w:val="24"/>
          <w:szCs w:val="24"/>
        </w:rPr>
        <w:t>．太原：太原理工大学，1998</w:t>
      </w:r>
    </w:p>
    <w:p>
      <w:pPr>
        <w:widowControl w:val="0"/>
        <w:wordWrap/>
        <w:adjustRightInd/>
        <w:snapToGrid/>
        <w:spacing w:before="0" w:line="288" w:lineRule="auto"/>
        <w:ind w:right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[8] </w:t>
      </w:r>
      <w:r>
        <w:rPr>
          <w:sz w:val="24"/>
          <w:szCs w:val="24"/>
        </w:rPr>
        <w:t xml:space="preserve">Roeder, Ute-Regina: </w:t>
      </w:r>
      <w:r>
        <w:rPr>
          <w:i/>
          <w:sz w:val="24"/>
          <w:szCs w:val="24"/>
        </w:rPr>
        <w:t>Selbstkonstruktion und interpersonale Distanz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Dissertation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Berlin: Freie Universität Berlin, 2003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D</w:t>
      </w:r>
      <w:r>
        <w:rPr>
          <w:rFonts w:ascii="宋体" w:hAnsi="宋体"/>
          <w:b/>
          <w:sz w:val="24"/>
          <w:szCs w:val="24"/>
        </w:rPr>
        <w:t xml:space="preserve">.报纸文章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>]作</w:t>
      </w:r>
      <w:r>
        <w:rPr>
          <w:rFonts w:ascii="宋体" w:hAnsi="宋体"/>
          <w:sz w:val="24"/>
          <w:szCs w:val="24"/>
        </w:rPr>
        <w:t>者</w:t>
      </w:r>
      <w:r>
        <w:rPr>
          <w:rFonts w:hint="eastAsia"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>题名．报纸名，出版</w:t>
      </w:r>
      <w:r>
        <w:rPr>
          <w:rFonts w:hint="eastAsia" w:ascii="宋体" w:hAnsi="宋体"/>
          <w:sz w:val="24"/>
          <w:szCs w:val="24"/>
        </w:rPr>
        <w:t>日期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[9] </w:t>
      </w:r>
      <w:r>
        <w:rPr>
          <w:rFonts w:ascii="宋体" w:hAnsi="宋体"/>
          <w:sz w:val="24"/>
          <w:szCs w:val="24"/>
        </w:rPr>
        <w:t>谢希德</w:t>
      </w:r>
      <w:r>
        <w:rPr>
          <w:rFonts w:hint="eastAsia" w:ascii="宋体" w:hAnsi="宋体"/>
          <w:sz w:val="24"/>
          <w:szCs w:val="24"/>
        </w:rPr>
        <w:t>:</w:t>
      </w:r>
      <w:r>
        <w:rPr>
          <w:rFonts w:hint="eastAsia" w:ascii="宋体" w:hAnsi="宋体"/>
          <w:i w:val="0"/>
          <w:iCs w:val="0"/>
          <w:sz w:val="24"/>
          <w:szCs w:val="24"/>
        </w:rPr>
        <w:t>《</w:t>
      </w:r>
      <w:r>
        <w:rPr>
          <w:rFonts w:ascii="宋体" w:hAnsi="宋体"/>
          <w:i w:val="0"/>
          <w:iCs w:val="0"/>
          <w:sz w:val="24"/>
          <w:szCs w:val="24"/>
        </w:rPr>
        <w:t>创造学习的思路</w:t>
      </w:r>
      <w:r>
        <w:rPr>
          <w:rFonts w:hint="eastAsia" w:ascii="宋体" w:hAnsi="宋体"/>
          <w:i w:val="0"/>
          <w:iCs w:val="0"/>
          <w:sz w:val="24"/>
          <w:szCs w:val="24"/>
        </w:rPr>
        <w:t>》</w:t>
      </w:r>
      <w:r>
        <w:rPr>
          <w:rFonts w:ascii="宋体" w:hAnsi="宋体"/>
          <w:sz w:val="24"/>
          <w:szCs w:val="24"/>
        </w:rPr>
        <w:t>．人民日报，1998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>25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[10]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H</w:t>
      </w:r>
      <w:r>
        <w:rPr>
          <w:rFonts w:ascii="宋体" w:hAnsi="宋体"/>
          <w:sz w:val="24"/>
          <w:szCs w:val="24"/>
        </w:rPr>
        <w:t>i</w:t>
      </w:r>
      <w:r>
        <w:rPr>
          <w:rFonts w:hint="eastAsia" w:ascii="宋体" w:hAnsi="宋体"/>
          <w:sz w:val="24"/>
          <w:szCs w:val="24"/>
        </w:rPr>
        <w:t xml:space="preserve">lmar Schmundt. </w:t>
      </w:r>
      <w:r>
        <w:rPr>
          <w:rFonts w:hint="eastAsia" w:ascii="宋体" w:hAnsi="宋体"/>
          <w:i/>
          <w:sz w:val="24"/>
          <w:szCs w:val="24"/>
        </w:rPr>
        <w:t>Rattenfeste Funkstationen. Der Spiegel</w:t>
      </w:r>
      <w:r>
        <w:rPr>
          <w:rFonts w:hint="eastAsia" w:ascii="宋体" w:hAnsi="宋体"/>
          <w:sz w:val="24"/>
          <w:szCs w:val="24"/>
        </w:rPr>
        <w:t>,2012-12-31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E</w:t>
      </w:r>
      <w:r>
        <w:rPr>
          <w:rFonts w:ascii="宋体" w:hAnsi="宋体"/>
          <w:b/>
          <w:sz w:val="24"/>
          <w:szCs w:val="24"/>
        </w:rPr>
        <w:t xml:space="preserve">会议论文集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>]作者：文章名．见</w:t>
      </w:r>
      <w:r>
        <w:rPr>
          <w:rFonts w:ascii="宋体" w:hAnsi="宋体"/>
          <w:sz w:val="24"/>
          <w:szCs w:val="24"/>
        </w:rPr>
        <w:t xml:space="preserve">：主编．论文集名．出版地：出版者，出版年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[11] </w:t>
      </w:r>
      <w:r>
        <w:rPr>
          <w:rFonts w:ascii="宋体" w:hAnsi="宋体"/>
          <w:sz w:val="24"/>
          <w:szCs w:val="24"/>
        </w:rPr>
        <w:t>孙品一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i w:val="0"/>
          <w:iCs w:val="0"/>
          <w:sz w:val="24"/>
          <w:szCs w:val="24"/>
        </w:rPr>
        <w:t>《</w:t>
      </w:r>
      <w:r>
        <w:rPr>
          <w:rFonts w:ascii="宋体" w:hAnsi="宋体"/>
          <w:i w:val="0"/>
          <w:iCs w:val="0"/>
          <w:sz w:val="24"/>
          <w:szCs w:val="24"/>
        </w:rPr>
        <w:t>高校学报编辑工作现代化特征</w:t>
      </w:r>
      <w:r>
        <w:rPr>
          <w:rFonts w:hint="eastAsia" w:ascii="宋体" w:hAnsi="宋体"/>
          <w:i w:val="0"/>
          <w:iCs w:val="0"/>
          <w:sz w:val="24"/>
          <w:szCs w:val="24"/>
        </w:rPr>
        <w:t>》</w:t>
      </w:r>
      <w:r>
        <w:rPr>
          <w:rFonts w:ascii="宋体" w:hAnsi="宋体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见：</w:t>
      </w:r>
      <w:r>
        <w:rPr>
          <w:rFonts w:ascii="宋体" w:hAnsi="宋体"/>
          <w:sz w:val="24"/>
          <w:szCs w:val="24"/>
        </w:rPr>
        <w:t>中国高等学校自然科学学报研究会．科技编辑学论文集(2)．北京：北京师范大学出版社，1998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10-22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[12] W</w:t>
      </w:r>
      <w:r>
        <w:rPr>
          <w:rFonts w:ascii="宋体" w:hAnsi="宋体"/>
          <w:sz w:val="24"/>
          <w:szCs w:val="24"/>
        </w:rPr>
        <w:t xml:space="preserve">ierlacher, Alois: </w:t>
      </w:r>
      <w:r>
        <w:rPr>
          <w:rFonts w:ascii="宋体" w:hAnsi="宋体"/>
          <w:i/>
          <w:sz w:val="24"/>
          <w:szCs w:val="24"/>
        </w:rPr>
        <w:t>Interkulturalität</w:t>
      </w:r>
      <w:r>
        <w:rPr>
          <w:rFonts w:ascii="宋体" w:hAnsi="宋体"/>
          <w:sz w:val="24"/>
          <w:szCs w:val="24"/>
        </w:rPr>
        <w:t>. In: Wierlacher, Alois/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Bogner,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Andrea</w:t>
      </w:r>
      <w:r>
        <w:rPr>
          <w:rFonts w:hint="eastAsia"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i/>
          <w:sz w:val="24"/>
          <w:szCs w:val="24"/>
        </w:rPr>
        <w:t>Handbuch interkulturelle Germanistik</w:t>
      </w:r>
      <w:r>
        <w:rPr>
          <w:rFonts w:ascii="宋体" w:hAnsi="宋体"/>
          <w:sz w:val="24"/>
          <w:szCs w:val="24"/>
        </w:rPr>
        <w:t>. Stuttgart/Weimar</w:t>
      </w:r>
      <w:r>
        <w:rPr>
          <w:rFonts w:hint="eastAsia"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 xml:space="preserve"> J.B. Metzler</w:t>
      </w:r>
      <w:r>
        <w:rPr>
          <w:rFonts w:hint="eastAsia" w:ascii="宋体" w:hAnsi="宋体"/>
          <w:sz w:val="24"/>
          <w:szCs w:val="24"/>
        </w:rPr>
        <w:t xml:space="preserve"> 2003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F 翻译类文献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[序号]作者:书名．译者．出版地：出版者，出版年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149" w:right="0" w:hanging="149" w:hangingChars="62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[13]克里斯蒂安•诺德: </w:t>
      </w:r>
      <w:r>
        <w:rPr>
          <w:rFonts w:hint="eastAsia" w:ascii="宋体" w:hAnsi="宋体"/>
          <w:i w:val="0"/>
          <w:iCs w:val="0"/>
          <w:sz w:val="24"/>
          <w:szCs w:val="24"/>
        </w:rPr>
        <w:t>《译有所为—功能翻译理论阐释》</w:t>
      </w:r>
      <w:r>
        <w:rPr>
          <w:rFonts w:hint="eastAsia" w:ascii="宋体" w:hAnsi="宋体"/>
          <w:sz w:val="24"/>
          <w:szCs w:val="24"/>
        </w:rPr>
        <w:t xml:space="preserve">. 张美芳、王克非译. 北京：外语教学与研究出版社，2005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G</w:t>
      </w:r>
      <w:r>
        <w:rPr>
          <w:rFonts w:ascii="宋体" w:hAnsi="宋体"/>
          <w:b/>
          <w:sz w:val="24"/>
          <w:szCs w:val="24"/>
        </w:rPr>
        <w:t xml:space="preserve">.专著中析出的文献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 xml:space="preserve">] </w:t>
      </w:r>
      <w:r>
        <w:rPr>
          <w:rFonts w:ascii="宋体" w:hAnsi="宋体"/>
          <w:sz w:val="24"/>
          <w:szCs w:val="24"/>
        </w:rPr>
        <w:t>析出责任者</w:t>
      </w:r>
      <w:r>
        <w:rPr>
          <w:rFonts w:hint="eastAsia" w:ascii="宋体" w:hAnsi="宋体"/>
          <w:sz w:val="24"/>
          <w:szCs w:val="24"/>
        </w:rPr>
        <w:t xml:space="preserve">: </w:t>
      </w:r>
      <w:r>
        <w:rPr>
          <w:rFonts w:ascii="宋体" w:hAnsi="宋体"/>
          <w:sz w:val="24"/>
          <w:szCs w:val="24"/>
        </w:rPr>
        <w:t>析出题名．</w:t>
      </w:r>
      <w:r>
        <w:rPr>
          <w:rFonts w:hint="eastAsia" w:ascii="宋体" w:hAnsi="宋体"/>
          <w:sz w:val="24"/>
          <w:szCs w:val="24"/>
        </w:rPr>
        <w:t>见：</w:t>
      </w:r>
      <w:r>
        <w:rPr>
          <w:rFonts w:ascii="宋体" w:hAnsi="宋体"/>
          <w:sz w:val="24"/>
          <w:szCs w:val="24"/>
        </w:rPr>
        <w:t xml:space="preserve">专著责任者．书名．出版地：出版者，出版年．起止页码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 xml:space="preserve">4] </w:t>
      </w:r>
      <w:r>
        <w:rPr>
          <w:rFonts w:ascii="宋体" w:hAnsi="宋体"/>
          <w:sz w:val="24"/>
          <w:szCs w:val="24"/>
        </w:rPr>
        <w:t>罗云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i w:val="0"/>
          <w:iCs w:val="0"/>
          <w:sz w:val="24"/>
          <w:szCs w:val="24"/>
        </w:rPr>
        <w:t>《</w:t>
      </w:r>
      <w:r>
        <w:rPr>
          <w:rFonts w:ascii="宋体" w:hAnsi="宋体"/>
          <w:i w:val="0"/>
          <w:iCs w:val="0"/>
          <w:sz w:val="24"/>
          <w:szCs w:val="24"/>
        </w:rPr>
        <w:t>安全科学理论体系的发展及趋势探讨</w:t>
      </w:r>
      <w:r>
        <w:rPr>
          <w:rFonts w:hint="eastAsia" w:ascii="宋体" w:hAnsi="宋体"/>
          <w:i w:val="0"/>
          <w:iCs w:val="0"/>
          <w:sz w:val="24"/>
          <w:szCs w:val="24"/>
        </w:rPr>
        <w:t>》</w:t>
      </w:r>
      <w:r>
        <w:rPr>
          <w:rFonts w:ascii="宋体" w:hAnsi="宋体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见：</w:t>
      </w:r>
      <w:r>
        <w:rPr>
          <w:rFonts w:ascii="宋体" w:hAnsi="宋体"/>
          <w:sz w:val="24"/>
          <w:szCs w:val="24"/>
        </w:rPr>
        <w:t>白春华，何学秋，吴宗之．</w:t>
      </w:r>
      <w:r>
        <w:rPr>
          <w:rFonts w:hint="eastAsia" w:ascii="宋体" w:hAnsi="宋体"/>
          <w:i/>
          <w:iCs/>
          <w:sz w:val="24"/>
          <w:szCs w:val="24"/>
        </w:rPr>
        <w:t>《</w:t>
      </w:r>
      <w:r>
        <w:rPr>
          <w:rFonts w:ascii="宋体" w:hAnsi="宋体"/>
          <w:i/>
          <w:iCs/>
          <w:sz w:val="24"/>
          <w:szCs w:val="24"/>
        </w:rPr>
        <w:t>21世纪安全科学与技术的发展趋势</w:t>
      </w:r>
      <w:r>
        <w:rPr>
          <w:rFonts w:hint="eastAsia" w:ascii="宋体" w:hAnsi="宋体"/>
          <w:i/>
          <w:iCs/>
          <w:sz w:val="24"/>
          <w:szCs w:val="24"/>
        </w:rPr>
        <w:t>》</w:t>
      </w:r>
      <w:r>
        <w:rPr>
          <w:rFonts w:ascii="宋体" w:hAnsi="宋体"/>
          <w:sz w:val="24"/>
          <w:szCs w:val="24"/>
        </w:rPr>
        <w:t xml:space="preserve">．北京：科学出版社，2000．1-5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1" w:right="0" w:hanging="361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H</w:t>
      </w:r>
      <w:r>
        <w:rPr>
          <w:rFonts w:ascii="宋体" w:hAnsi="宋体"/>
          <w:b/>
          <w:sz w:val="24"/>
          <w:szCs w:val="24"/>
        </w:rPr>
        <w:t xml:space="preserve">.电子文献 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</w:rPr>
        <w:t>序号</w:t>
      </w:r>
      <w:r>
        <w:rPr>
          <w:rFonts w:hint="eastAsia" w:ascii="宋体" w:hAnsi="宋体"/>
          <w:sz w:val="24"/>
          <w:szCs w:val="24"/>
        </w:rPr>
        <w:t>]作者：</w:t>
      </w:r>
      <w:r>
        <w:rPr>
          <w:rFonts w:ascii="宋体" w:hAnsi="宋体" w:cs="Tahoma"/>
          <w:color w:val="333333"/>
          <w:sz w:val="24"/>
          <w:szCs w:val="24"/>
        </w:rPr>
        <w:t>题名</w:t>
      </w:r>
      <w:r>
        <w:rPr>
          <w:rFonts w:ascii="宋体" w:hAnsi="宋体"/>
          <w:sz w:val="24"/>
          <w:szCs w:val="24"/>
        </w:rPr>
        <w:t>．</w:t>
      </w:r>
      <w:r>
        <w:rPr>
          <w:rFonts w:ascii="宋体" w:hAnsi="宋体" w:cs="Tahoma"/>
          <w:color w:val="333333"/>
          <w:sz w:val="24"/>
          <w:szCs w:val="24"/>
        </w:rPr>
        <w:t>获取和访问路径</w:t>
      </w:r>
      <w:r>
        <w:rPr>
          <w:rFonts w:ascii="宋体" w:hAnsi="宋体"/>
          <w:sz w:val="24"/>
          <w:szCs w:val="24"/>
        </w:rPr>
        <w:t>．</w:t>
      </w:r>
      <w:r>
        <w:rPr>
          <w:rFonts w:hint="eastAsia" w:ascii="宋体" w:hAnsi="宋体" w:cs="Tahoma"/>
          <w:color w:val="333333"/>
          <w:sz w:val="24"/>
          <w:szCs w:val="24"/>
        </w:rPr>
        <w:t>[</w:t>
      </w:r>
      <w:r>
        <w:rPr>
          <w:rFonts w:ascii="宋体" w:hAnsi="宋体" w:cs="Tahoma"/>
          <w:color w:val="333333"/>
          <w:sz w:val="24"/>
          <w:szCs w:val="24"/>
        </w:rPr>
        <w:t>引用日期</w:t>
      </w:r>
      <w:r>
        <w:rPr>
          <w:rFonts w:hint="eastAsia" w:ascii="宋体" w:hAnsi="宋体" w:cs="Tahoma"/>
          <w:color w:val="333333"/>
          <w:sz w:val="24"/>
          <w:szCs w:val="24"/>
        </w:rPr>
        <w:t>]</w:t>
      </w:r>
      <w:r>
        <w:rPr>
          <w:rFonts w:ascii="宋体" w:hAnsi="宋体"/>
          <w:sz w:val="24"/>
          <w:szCs w:val="24"/>
        </w:rPr>
        <w:t xml:space="preserve"> ．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480" w:right="0" w:hanging="480" w:hanging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 w:cs="Tahoma"/>
          <w:color w:val="333333"/>
          <w:sz w:val="24"/>
          <w:szCs w:val="24"/>
        </w:rPr>
        <w:t>[15]教育部:</w:t>
      </w:r>
      <w:r>
        <w:rPr>
          <w:rFonts w:hint="eastAsia" w:ascii="宋体" w:hAnsi="宋体" w:cs="Tahoma"/>
          <w:i w:val="0"/>
          <w:iCs w:val="0"/>
          <w:color w:val="333333"/>
          <w:sz w:val="24"/>
          <w:szCs w:val="24"/>
        </w:rPr>
        <w:t>《基础教育课程改革纲要(试行)》</w:t>
      </w:r>
      <w:r>
        <w:rPr>
          <w:rFonts w:hint="eastAsia" w:ascii="宋体" w:hAnsi="宋体" w:cs="Tahoma"/>
          <w:color w:val="333333"/>
          <w:sz w:val="24"/>
          <w:szCs w:val="24"/>
        </w:rPr>
        <w:t>.</w:t>
      </w:r>
      <w:r>
        <w:rPr>
          <w:rFonts w:ascii="宋体" w:hAnsi="宋体" w:cs="Tahoma"/>
          <w:color w:val="333333"/>
          <w:sz w:val="24"/>
          <w:szCs w:val="24"/>
        </w:rPr>
        <w:t>http://www.moe.edu.cn/publicfiles/</w:t>
      </w:r>
      <w:r>
        <w:rPr>
          <w:rFonts w:hint="eastAsia" w:ascii="宋体" w:hAnsi="宋体" w:cs="Tahoma"/>
          <w:color w:val="333333"/>
          <w:sz w:val="24"/>
          <w:szCs w:val="24"/>
        </w:rPr>
        <w:t xml:space="preserve"> </w:t>
      </w:r>
      <w:r>
        <w:rPr>
          <w:rFonts w:ascii="宋体" w:hAnsi="宋体" w:cs="Tahoma"/>
          <w:color w:val="333333"/>
          <w:sz w:val="24"/>
          <w:szCs w:val="24"/>
        </w:rPr>
        <w:t>business/htmlfiles/moe_309/200412/4672.ht</w:t>
      </w:r>
      <w:r>
        <w:rPr>
          <w:rFonts w:hint="eastAsia" w:ascii="宋体" w:hAnsi="宋体" w:cs="Tahoma"/>
          <w:color w:val="333333"/>
          <w:sz w:val="24"/>
          <w:szCs w:val="24"/>
        </w:rPr>
        <w:t>ml.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 w:cs="Tahoma"/>
          <w:color w:val="333333"/>
          <w:sz w:val="24"/>
          <w:szCs w:val="24"/>
        </w:rPr>
        <w:t>2012-09-23)。</w:t>
      </w:r>
      <w:r>
        <w:rPr>
          <w:rFonts w:ascii="宋体" w:hAnsi="宋体" w:cs="Tahoma"/>
          <w:color w:val="333333"/>
          <w:sz w:val="24"/>
          <w:szCs w:val="24"/>
        </w:rPr>
        <w:t> </w:t>
      </w:r>
    </w:p>
    <w:p>
      <w:pPr>
        <w:pStyle w:val="12"/>
        <w:widowControl w:val="0"/>
        <w:wordWrap/>
        <w:adjustRightInd/>
        <w:snapToGrid/>
        <w:spacing w:before="0" w:line="288" w:lineRule="auto"/>
        <w:ind w:left="360" w:right="0" w:hanging="36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[16]Reich,Kersten：</w:t>
      </w:r>
      <w:r>
        <w:rPr>
          <w:rFonts w:hint="eastAsia" w:ascii="宋体" w:hAnsi="宋体"/>
          <w:i/>
          <w:sz w:val="24"/>
          <w:szCs w:val="24"/>
        </w:rPr>
        <w:t>Wahrheits- und Begr</w:t>
      </w:r>
      <w:r>
        <w:rPr>
          <w:rFonts w:ascii="宋体" w:hAnsi="宋体"/>
          <w:i/>
          <w:sz w:val="24"/>
          <w:szCs w:val="24"/>
        </w:rPr>
        <w:t>ü</w:t>
      </w:r>
      <w:r>
        <w:rPr>
          <w:rFonts w:hint="eastAsia" w:ascii="宋体" w:hAnsi="宋体"/>
          <w:i/>
          <w:sz w:val="24"/>
          <w:szCs w:val="24"/>
        </w:rPr>
        <w:t xml:space="preserve">ndungsprobleme konstruklivistischer </w:t>
      </w:r>
      <w:r>
        <w:rPr>
          <w:rFonts w:ascii="宋体" w:hAnsi="宋体"/>
          <w:i/>
          <w:sz w:val="24"/>
          <w:szCs w:val="24"/>
        </w:rPr>
        <w:t>Didaktik</w:t>
      </w:r>
      <w:r>
        <w:rPr>
          <w:rFonts w:ascii="宋体" w:hAnsi="宋体"/>
          <w:sz w:val="24"/>
          <w:szCs w:val="24"/>
        </w:rPr>
        <w:t xml:space="preserve">. </w:t>
      </w:r>
      <w:r>
        <w:rPr>
          <w:rFonts w:hint="eastAsia" w:ascii="宋体" w:hAnsi="宋体"/>
          <w:sz w:val="24"/>
          <w:szCs w:val="24"/>
        </w:rPr>
        <w:t>http://www.uni-koeln.de/hf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 xml:space="preserve">/reich_works/aufsatze/reich_ 46.pdf. </w:t>
      </w:r>
      <w:r>
        <w:rPr>
          <w:rFonts w:ascii="宋体" w:hAnsi="宋体"/>
          <w:sz w:val="24"/>
          <w:szCs w:val="24"/>
        </w:rPr>
        <w:t xml:space="preserve">2012-09-08)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857" w:right="1134" w:bottom="936" w:left="1701" w:header="571" w:footer="431" w:gutter="0"/>
      <w:paperSrc w:first="0" w:other="0"/>
      <w:cols w:space="720" w:num="1"/>
      <w:docGrid w:type="lines" w:linePitch="3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lang w:val="zh-CN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79112873">
    <w:nsid w:val="64153AA9"/>
    <w:multiLevelType w:val="multilevel"/>
    <w:tmpl w:val="64153AA9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13419306">
    <w:nsid w:val="543F112A"/>
    <w:multiLevelType w:val="singleLevel"/>
    <w:tmpl w:val="543F112A"/>
    <w:lvl w:ilvl="0" w:tentative="1">
      <w:start w:val="12"/>
      <w:numFmt w:val="decimal"/>
      <w:suff w:val="nothing"/>
      <w:lvlText w:val="%1、"/>
      <w:lvlJc w:val="left"/>
    </w:lvl>
  </w:abstractNum>
  <w:num w:numId="1">
    <w:abstractNumId w:val="1679112873"/>
  </w:num>
  <w:num w:numId="2">
    <w:abstractNumId w:val="14134193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0"/>
  <w:drawingGridVerticalSpacing w:val="19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18297B21"/>
    <w:rsid w:val="4C78750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99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pageBreakBefore/>
      <w:spacing w:before="120" w:after="120" w:line="480" w:lineRule="auto"/>
      <w:ind w:left="1141" w:hanging="1021"/>
      <w:jc w:val="left"/>
      <w:outlineLvl w:val="0"/>
    </w:pPr>
    <w:rPr>
      <w:b/>
      <w:bCs/>
      <w:kern w:val="44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ody Text Indent"/>
    <w:basedOn w:val="1"/>
    <w:link w:val="15"/>
    <w:unhideWhenUsed/>
    <w:uiPriority w:val="99"/>
    <w:pPr>
      <w:spacing w:after="120"/>
      <w:ind w:left="420" w:leftChars="200"/>
    </w:pPr>
  </w:style>
  <w:style w:type="paragraph" w:styleId="4">
    <w:name w:val="Balloon Text"/>
    <w:basedOn w:val="1"/>
    <w:link w:val="17"/>
    <w:unhideWhenUsed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1"/>
    <w:link w:val="16"/>
    <w:uiPriority w:val="0"/>
    <w:pPr>
      <w:ind w:firstLine="200" w:firstLineChars="200"/>
    </w:pPr>
  </w:style>
  <w:style w:type="paragraph" w:styleId="7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nhideWhenUsed/>
    <w:uiPriority w:val="0"/>
    <w:rPr/>
  </w:style>
  <w:style w:type="character" w:styleId="10">
    <w:name w:val="Hyperlink"/>
    <w:basedOn w:val="8"/>
    <w:uiPriority w:val="0"/>
    <w:rPr>
      <w:color w:val="0000FF"/>
      <w:u w:val="single"/>
    </w:rPr>
  </w:style>
  <w:style w:type="paragraph" w:customStyle="1" w:styleId="12">
    <w:name w:val="参考文献"/>
    <w:basedOn w:val="1"/>
    <w:next w:val="1"/>
    <w:uiPriority w:val="0"/>
    <w:pPr>
      <w:spacing w:after="60"/>
      <w:ind w:left="150" w:hanging="150" w:hangingChars="150"/>
    </w:pPr>
  </w:style>
  <w:style w:type="paragraph" w:customStyle="1" w:styleId="13">
    <w:name w:val="列出段落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8"/>
    <w:link w:val="2"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15">
    <w:name w:val="正文文本缩进 Char"/>
    <w:basedOn w:val="8"/>
    <w:link w:val="3"/>
    <w:semiHidden/>
    <w:uiPriority w:val="99"/>
    <w:rPr>
      <w:rFonts w:ascii="Times New Roman" w:hAnsi="Times New Roman" w:eastAsia="宋体" w:cs="Times New Roman"/>
      <w:sz w:val="28"/>
      <w:szCs w:val="28"/>
    </w:rPr>
  </w:style>
  <w:style w:type="character" w:customStyle="1" w:styleId="16">
    <w:name w:val="正文首行缩进 2 Char"/>
    <w:basedOn w:val="15"/>
    <w:link w:val="6"/>
    <w:uiPriority w:val="0"/>
    <w:rPr/>
  </w:style>
  <w:style w:type="character" w:customStyle="1" w:styleId="17">
    <w:name w:val="批注框文本 Char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8"/>
    <w:link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309</Words>
  <Characters>1764</Characters>
  <Lines>14</Lines>
  <Paragraphs>4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2014-10-13T01:20:00Z</dcterms:created>
  <dc:creator>微软用户</dc:creator>
  <cp:lastModifiedBy>Administrator</cp:lastModifiedBy>
  <cp:lastPrinted>2014-10-17T02:16:00Z</cp:lastPrinted>
  <dcterms:modified xsi:type="dcterms:W3CDTF">2015-04-27T07:17:19Z</dcterms:modified>
  <dc:title>目录：请采用word的自动插入目录功能。前提是将一级、二级、三级标题都做好。在外文与中文摘要与关键词之后，根据目录行数多少，预留一页或多页空白。随后点击工具栏中的“插入”，接着点击“引用”，再点击“索引和目录”，在其中选择“目录”，并在选择“显示页码”和“页码右对齐”两个话框前选择打钩。最后点击“确定”，目录即自动插入指定位置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