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黑体" w:eastAsia="方正小标宋简体"/>
          <w:color w:val="000000"/>
          <w:kern w:val="0"/>
          <w:sz w:val="40"/>
          <w:szCs w:val="32"/>
          <w:lang w:val="zh-CN"/>
        </w:rPr>
      </w:pPr>
      <w:r>
        <w:rPr>
          <w:rFonts w:hint="eastAsia" w:ascii="方正小标宋简体" w:hAnsi="黑体" w:eastAsia="方正小标宋简体"/>
          <w:color w:val="000000"/>
          <w:kern w:val="0"/>
          <w:sz w:val="40"/>
          <w:szCs w:val="32"/>
          <w:lang w:val="zh-CN"/>
        </w:rPr>
        <w:t>201</w:t>
      </w:r>
      <w:r>
        <w:rPr>
          <w:rFonts w:ascii="方正小标宋简体" w:hAnsi="黑体" w:eastAsia="方正小标宋简体"/>
          <w:color w:val="000000"/>
          <w:kern w:val="0"/>
          <w:sz w:val="40"/>
          <w:szCs w:val="32"/>
          <w:lang w:val="zh-CN"/>
        </w:rPr>
        <w:t>8</w:t>
      </w:r>
      <w:r>
        <w:rPr>
          <w:rFonts w:hint="eastAsia" w:ascii="方正小标宋简体" w:hAnsi="黑体" w:eastAsia="方正小标宋简体"/>
          <w:color w:val="000000"/>
          <w:kern w:val="0"/>
          <w:sz w:val="40"/>
          <w:szCs w:val="32"/>
          <w:lang w:val="zh-CN"/>
        </w:rPr>
        <w:t>年度广东省本科高校质量工程建设项目</w:t>
      </w:r>
    </w:p>
    <w:p>
      <w:pPr>
        <w:jc w:val="center"/>
        <w:rPr>
          <w:rFonts w:hint="eastAsia" w:ascii="方正小标宋简体" w:hAnsi="黑体" w:eastAsia="方正小标宋简体"/>
          <w:color w:val="000000"/>
          <w:kern w:val="0"/>
          <w:sz w:val="40"/>
          <w:szCs w:val="32"/>
          <w:lang w:val="zh-CN"/>
        </w:rPr>
      </w:pPr>
      <w:r>
        <w:rPr>
          <w:rFonts w:hint="eastAsia" w:ascii="方正小标宋简体" w:hAnsi="黑体" w:eastAsia="方正小标宋简体"/>
          <w:color w:val="000000"/>
          <w:kern w:val="0"/>
          <w:sz w:val="40"/>
          <w:szCs w:val="32"/>
          <w:lang w:val="zh-CN"/>
        </w:rPr>
        <w:t>推荐立项指南</w:t>
      </w:r>
    </w:p>
    <w:p>
      <w:pPr>
        <w:jc w:val="center"/>
        <w:rPr>
          <w:rFonts w:hint="eastAsia" w:ascii="黑体" w:hAnsi="黑体" w:eastAsia="黑体"/>
          <w:color w:val="000000"/>
          <w:kern w:val="0"/>
          <w:sz w:val="32"/>
          <w:szCs w:val="32"/>
          <w:lang w:val="zh-CN"/>
        </w:rPr>
      </w:pPr>
    </w:p>
    <w:p>
      <w:pPr>
        <w:ind w:firstLine="640" w:firstLineChars="200"/>
        <w:rPr>
          <w:rFonts w:hint="eastAsia" w:ascii="仿宋_GB2312" w:hAnsi="仿宋" w:eastAsia="仿宋_GB2312"/>
          <w:color w:val="000000"/>
          <w:kern w:val="0"/>
          <w:sz w:val="32"/>
          <w:szCs w:val="32"/>
          <w:lang w:val="zh-CN"/>
        </w:rPr>
      </w:pPr>
      <w:r>
        <w:rPr>
          <w:rFonts w:hint="eastAsia" w:ascii="仿宋_GB2312" w:hAnsi="仿宋" w:eastAsia="仿宋_GB2312"/>
          <w:color w:val="000000"/>
          <w:kern w:val="0"/>
          <w:sz w:val="32"/>
          <w:szCs w:val="32"/>
          <w:lang w:val="zh-CN"/>
        </w:rPr>
        <w:t>201</w:t>
      </w:r>
      <w:r>
        <w:rPr>
          <w:rFonts w:ascii="仿宋_GB2312" w:hAnsi="仿宋" w:eastAsia="仿宋_GB2312"/>
          <w:color w:val="000000"/>
          <w:kern w:val="0"/>
          <w:sz w:val="32"/>
          <w:szCs w:val="32"/>
          <w:lang w:val="zh-CN"/>
        </w:rPr>
        <w:t>8</w:t>
      </w:r>
      <w:r>
        <w:rPr>
          <w:rFonts w:hint="eastAsia" w:ascii="仿宋_GB2312" w:hAnsi="仿宋" w:eastAsia="仿宋_GB2312"/>
          <w:color w:val="000000"/>
          <w:kern w:val="0"/>
          <w:sz w:val="32"/>
          <w:szCs w:val="32"/>
          <w:lang w:val="zh-CN"/>
        </w:rPr>
        <w:t>年</w:t>
      </w:r>
      <w:r>
        <w:rPr>
          <w:rFonts w:ascii="仿宋_GB2312" w:hAnsi="仿宋" w:eastAsia="仿宋_GB2312"/>
          <w:color w:val="000000"/>
          <w:kern w:val="0"/>
          <w:sz w:val="32"/>
          <w:szCs w:val="32"/>
          <w:lang w:val="zh-CN"/>
        </w:rPr>
        <w:t>度省质量工程项目类别基本按照《</w:t>
      </w:r>
      <w:r>
        <w:rPr>
          <w:rFonts w:hint="eastAsia" w:ascii="仿宋_GB2312" w:hAnsi="仿宋" w:eastAsia="仿宋_GB2312"/>
          <w:color w:val="000000"/>
          <w:kern w:val="0"/>
          <w:sz w:val="32"/>
          <w:szCs w:val="32"/>
          <w:lang w:val="zh-CN"/>
        </w:rPr>
        <w:t>广东省普通本科高校“十三五”教学质量与教学改革工程建设实施方案》</w:t>
      </w:r>
      <w:r>
        <w:rPr>
          <w:rFonts w:ascii="仿宋_GB2312" w:hAnsi="仿宋" w:eastAsia="仿宋_GB2312"/>
          <w:color w:val="000000"/>
          <w:kern w:val="0"/>
          <w:sz w:val="32"/>
          <w:szCs w:val="32"/>
          <w:lang w:val="zh-CN"/>
        </w:rPr>
        <w:t>确定</w:t>
      </w:r>
      <w:r>
        <w:rPr>
          <w:rFonts w:hint="eastAsia" w:ascii="仿宋_GB2312" w:hAnsi="仿宋" w:eastAsia="仿宋_GB2312"/>
          <w:color w:val="000000"/>
          <w:kern w:val="0"/>
          <w:sz w:val="32"/>
          <w:szCs w:val="32"/>
          <w:lang w:val="zh-CN"/>
        </w:rPr>
        <w:t>，在</w:t>
      </w:r>
      <w:r>
        <w:rPr>
          <w:rFonts w:ascii="仿宋_GB2312" w:hAnsi="仿宋" w:eastAsia="仿宋_GB2312"/>
          <w:color w:val="000000"/>
          <w:kern w:val="0"/>
          <w:sz w:val="32"/>
          <w:szCs w:val="32"/>
          <w:lang w:val="zh-CN"/>
        </w:rPr>
        <w:t>尊重学校自主规划的同时，突出强调省级统筹，优化项目建设布局，</w:t>
      </w:r>
      <w:r>
        <w:rPr>
          <w:rFonts w:hint="eastAsia" w:ascii="仿宋_GB2312" w:hAnsi="仿宋" w:eastAsia="仿宋_GB2312"/>
          <w:color w:val="000000"/>
          <w:kern w:val="0"/>
          <w:sz w:val="32"/>
          <w:szCs w:val="32"/>
          <w:lang w:val="zh-CN"/>
        </w:rPr>
        <w:t>提高</w:t>
      </w:r>
      <w:r>
        <w:rPr>
          <w:rFonts w:ascii="仿宋_GB2312" w:hAnsi="仿宋" w:eastAsia="仿宋_GB2312"/>
          <w:color w:val="000000"/>
          <w:kern w:val="0"/>
          <w:sz w:val="32"/>
          <w:szCs w:val="32"/>
          <w:lang w:val="zh-CN"/>
        </w:rPr>
        <w:t>项目建设质量。</w:t>
      </w:r>
      <w:r>
        <w:rPr>
          <w:rFonts w:hint="eastAsia" w:ascii="仿宋_GB2312" w:hAnsi="仿宋" w:eastAsia="仿宋_GB2312"/>
          <w:color w:val="000000"/>
          <w:kern w:val="0"/>
          <w:sz w:val="32"/>
          <w:szCs w:val="32"/>
          <w:lang w:val="zh-CN"/>
        </w:rPr>
        <w:t>按照</w:t>
      </w:r>
      <w:r>
        <w:rPr>
          <w:rFonts w:ascii="仿宋_GB2312" w:hAnsi="仿宋" w:eastAsia="仿宋_GB2312"/>
          <w:color w:val="000000"/>
          <w:kern w:val="0"/>
          <w:sz w:val="32"/>
          <w:szCs w:val="32"/>
          <w:lang w:val="zh-CN"/>
        </w:rPr>
        <w:t>工作安排，</w:t>
      </w:r>
      <w:r>
        <w:rPr>
          <w:rFonts w:hint="eastAsia" w:ascii="仿宋_GB2312" w:hAnsi="仿宋" w:eastAsia="仿宋_GB2312"/>
          <w:color w:val="000000"/>
          <w:kern w:val="0"/>
          <w:sz w:val="32"/>
          <w:szCs w:val="32"/>
          <w:lang w:val="zh-CN"/>
        </w:rPr>
        <w:t>20</w:t>
      </w:r>
      <w:r>
        <w:rPr>
          <w:rFonts w:ascii="仿宋_GB2312" w:hAnsi="仿宋" w:eastAsia="仿宋_GB2312"/>
          <w:color w:val="000000"/>
          <w:kern w:val="0"/>
          <w:sz w:val="32"/>
          <w:szCs w:val="32"/>
          <w:lang w:val="zh-CN"/>
        </w:rPr>
        <w:t>18</w:t>
      </w:r>
      <w:r>
        <w:rPr>
          <w:rFonts w:hint="eastAsia" w:ascii="仿宋_GB2312" w:hAnsi="仿宋" w:eastAsia="仿宋_GB2312"/>
          <w:color w:val="000000"/>
          <w:kern w:val="0"/>
          <w:sz w:val="32"/>
          <w:szCs w:val="32"/>
          <w:lang w:val="zh-CN"/>
        </w:rPr>
        <w:t>年度</w:t>
      </w:r>
      <w:r>
        <w:rPr>
          <w:rFonts w:ascii="仿宋_GB2312" w:hAnsi="仿宋" w:eastAsia="仿宋_GB2312"/>
          <w:color w:val="000000"/>
          <w:kern w:val="0"/>
          <w:sz w:val="32"/>
          <w:szCs w:val="32"/>
          <w:lang w:val="zh-CN"/>
        </w:rPr>
        <w:t>共计划新立项</w:t>
      </w:r>
      <w:r>
        <w:rPr>
          <w:rFonts w:hint="eastAsia" w:ascii="仿宋_GB2312" w:hAnsi="仿宋" w:eastAsia="仿宋_GB2312"/>
          <w:color w:val="000000"/>
          <w:kern w:val="0"/>
          <w:sz w:val="32"/>
          <w:szCs w:val="32"/>
          <w:lang w:val="zh-CN"/>
        </w:rPr>
        <w:t>省质量工程项目350项</w:t>
      </w:r>
      <w:r>
        <w:rPr>
          <w:rFonts w:ascii="仿宋_GB2312" w:hAnsi="仿宋" w:eastAsia="仿宋_GB2312"/>
          <w:color w:val="000000"/>
          <w:kern w:val="0"/>
          <w:sz w:val="32"/>
          <w:szCs w:val="32"/>
          <w:lang w:val="zh-CN"/>
        </w:rPr>
        <w:t>左右，</w:t>
      </w:r>
      <w:r>
        <w:rPr>
          <w:rFonts w:hint="eastAsia" w:ascii="仿宋_GB2312" w:hAnsi="仿宋" w:eastAsia="仿宋_GB2312"/>
          <w:color w:val="000000"/>
          <w:kern w:val="0"/>
          <w:sz w:val="32"/>
          <w:szCs w:val="32"/>
          <w:lang w:val="zh-CN"/>
        </w:rPr>
        <w:t>项目</w:t>
      </w:r>
      <w:r>
        <w:rPr>
          <w:rFonts w:ascii="仿宋_GB2312" w:hAnsi="仿宋" w:eastAsia="仿宋_GB2312"/>
          <w:color w:val="000000"/>
          <w:kern w:val="0"/>
          <w:sz w:val="32"/>
          <w:szCs w:val="32"/>
          <w:lang w:val="zh-CN"/>
        </w:rPr>
        <w:t>具体类别和数量如下：</w:t>
      </w:r>
    </w:p>
    <w:p>
      <w:pPr>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1.在线开放课程</w:t>
      </w:r>
      <w:r>
        <w:rPr>
          <w:rFonts w:ascii="仿宋_GB2312" w:hAnsi="仿宋" w:eastAsia="仿宋_GB2312" w:cs="宋体"/>
          <w:color w:val="000000"/>
          <w:kern w:val="0"/>
          <w:sz w:val="32"/>
          <w:szCs w:val="32"/>
        </w:rPr>
        <w:t>。</w:t>
      </w:r>
      <w:r>
        <w:rPr>
          <w:rFonts w:hint="eastAsia" w:ascii="仿宋_GB2312" w:hAnsi="仿宋" w:eastAsia="仿宋_GB2312" w:cs="宋体"/>
          <w:color w:val="000000"/>
          <w:kern w:val="0"/>
          <w:sz w:val="32"/>
          <w:szCs w:val="32"/>
        </w:rPr>
        <w:t>计划建设M</w:t>
      </w:r>
      <w:r>
        <w:rPr>
          <w:rFonts w:ascii="仿宋_GB2312" w:hAnsi="仿宋" w:eastAsia="仿宋_GB2312" w:cs="宋体"/>
          <w:color w:val="000000"/>
          <w:kern w:val="0"/>
          <w:sz w:val="32"/>
          <w:szCs w:val="32"/>
        </w:rPr>
        <w:t>OOC</w:t>
      </w:r>
      <w:r>
        <w:rPr>
          <w:rFonts w:hint="eastAsia" w:ascii="仿宋_GB2312" w:hAnsi="仿宋" w:eastAsia="仿宋_GB2312" w:cs="宋体"/>
          <w:color w:val="000000"/>
          <w:kern w:val="0"/>
          <w:sz w:val="32"/>
          <w:szCs w:val="32"/>
        </w:rPr>
        <w:t>，S</w:t>
      </w:r>
      <w:r>
        <w:rPr>
          <w:rFonts w:ascii="仿宋_GB2312" w:hAnsi="仿宋" w:eastAsia="仿宋_GB2312" w:cs="宋体"/>
          <w:color w:val="000000"/>
          <w:kern w:val="0"/>
          <w:sz w:val="32"/>
          <w:szCs w:val="32"/>
        </w:rPr>
        <w:t>POC</w:t>
      </w:r>
      <w:r>
        <w:rPr>
          <w:rFonts w:hint="eastAsia" w:ascii="仿宋_GB2312" w:hAnsi="仿宋" w:eastAsia="仿宋_GB2312" w:cs="宋体"/>
          <w:color w:val="000000"/>
          <w:kern w:val="0"/>
          <w:sz w:val="32"/>
          <w:szCs w:val="32"/>
        </w:rPr>
        <w:t>、微课群、创新短课群等总计</w:t>
      </w:r>
      <w:r>
        <w:rPr>
          <w:rFonts w:ascii="仿宋_GB2312" w:hAnsi="仿宋" w:eastAsia="仿宋_GB2312" w:cs="宋体"/>
          <w:color w:val="000000"/>
          <w:kern w:val="0"/>
          <w:sz w:val="32"/>
          <w:szCs w:val="32"/>
        </w:rPr>
        <w:t>15</w:t>
      </w:r>
      <w:r>
        <w:rPr>
          <w:rFonts w:hint="eastAsia" w:ascii="仿宋_GB2312" w:hAnsi="仿宋" w:eastAsia="仿宋_GB2312" w:cs="宋体"/>
          <w:color w:val="000000"/>
          <w:kern w:val="0"/>
          <w:sz w:val="32"/>
          <w:szCs w:val="32"/>
        </w:rPr>
        <w:t>0门左右。优先支持自有完备的课程平台网站或与在线课程平台有密切合作的高校建设开放课程，重点支持新师范、新工科、应用型、创新创业教育相关课程立项微课群、创新短课群建设要依托专业或专业群，尽量形成体系架构，系统疏解专业教学难点痛点；</w:t>
      </w:r>
      <w:r>
        <w:rPr>
          <w:rFonts w:ascii="仿宋_GB2312" w:hAnsi="仿宋" w:eastAsia="仿宋_GB2312" w:cs="宋体"/>
          <w:color w:val="000000"/>
          <w:kern w:val="0"/>
          <w:sz w:val="32"/>
          <w:szCs w:val="32"/>
        </w:rPr>
        <w:t>MOOC</w:t>
      </w:r>
      <w:r>
        <w:rPr>
          <w:rFonts w:hint="eastAsia" w:ascii="仿宋_GB2312" w:hAnsi="仿宋" w:eastAsia="仿宋_GB2312" w:cs="宋体"/>
          <w:color w:val="000000"/>
          <w:kern w:val="0"/>
          <w:sz w:val="32"/>
          <w:szCs w:val="32"/>
        </w:rPr>
        <w:t>及S</w:t>
      </w:r>
      <w:r>
        <w:rPr>
          <w:rFonts w:ascii="仿宋_GB2312" w:hAnsi="仿宋" w:eastAsia="仿宋_GB2312" w:cs="宋体"/>
          <w:color w:val="000000"/>
          <w:kern w:val="0"/>
          <w:sz w:val="32"/>
          <w:szCs w:val="32"/>
        </w:rPr>
        <w:t>POC</w:t>
      </w:r>
      <w:r>
        <w:rPr>
          <w:rFonts w:hint="eastAsia" w:ascii="仿宋_GB2312" w:hAnsi="仿宋" w:eastAsia="仿宋_GB2312" w:cs="宋体"/>
          <w:color w:val="000000"/>
          <w:kern w:val="0"/>
          <w:sz w:val="32"/>
          <w:szCs w:val="32"/>
        </w:rPr>
        <w:t>建设应充分考虑受众的学习需要，合理设置课程内容，着重提高资源质量和共享水平。</w:t>
      </w:r>
    </w:p>
    <w:p>
      <w:pPr>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2.实验教学</w:t>
      </w:r>
      <w:r>
        <w:rPr>
          <w:rFonts w:ascii="仿宋_GB2312" w:hAnsi="仿宋" w:eastAsia="仿宋_GB2312" w:cs="宋体"/>
          <w:color w:val="000000"/>
          <w:kern w:val="0"/>
          <w:sz w:val="32"/>
          <w:szCs w:val="32"/>
        </w:rPr>
        <w:t>示范中心。</w:t>
      </w:r>
      <w:r>
        <w:rPr>
          <w:rFonts w:hint="eastAsia" w:ascii="仿宋_GB2312" w:hAnsi="仿宋" w:eastAsia="仿宋_GB2312" w:cs="宋体"/>
          <w:color w:val="000000"/>
          <w:kern w:val="0"/>
          <w:sz w:val="32"/>
          <w:szCs w:val="32"/>
        </w:rPr>
        <w:t>计划</w:t>
      </w:r>
      <w:r>
        <w:rPr>
          <w:rFonts w:ascii="仿宋_GB2312" w:hAnsi="仿宋" w:eastAsia="仿宋_GB2312" w:cs="宋体"/>
          <w:color w:val="000000"/>
          <w:kern w:val="0"/>
          <w:sz w:val="32"/>
          <w:szCs w:val="32"/>
        </w:rPr>
        <w:t>新立项</w:t>
      </w:r>
      <w:r>
        <w:rPr>
          <w:rFonts w:hint="eastAsia" w:ascii="仿宋_GB2312" w:hAnsi="仿宋" w:eastAsia="仿宋_GB2312"/>
          <w:color w:val="000000"/>
          <w:kern w:val="0"/>
          <w:sz w:val="32"/>
          <w:szCs w:val="32"/>
          <w:lang w:val="zh-CN"/>
        </w:rPr>
        <w:t>2</w:t>
      </w:r>
      <w:r>
        <w:rPr>
          <w:rFonts w:ascii="仿宋_GB2312" w:hAnsi="仿宋" w:eastAsia="仿宋_GB2312"/>
          <w:color w:val="000000"/>
          <w:kern w:val="0"/>
          <w:sz w:val="32"/>
          <w:szCs w:val="32"/>
          <w:lang w:val="zh-CN"/>
        </w:rPr>
        <w:t>0</w:t>
      </w:r>
      <w:r>
        <w:rPr>
          <w:rFonts w:hint="eastAsia" w:ascii="仿宋_GB2312" w:hAnsi="仿宋" w:eastAsia="仿宋_GB2312"/>
          <w:color w:val="000000"/>
          <w:kern w:val="0"/>
          <w:sz w:val="32"/>
          <w:szCs w:val="32"/>
          <w:lang w:val="zh-CN"/>
        </w:rPr>
        <w:t>个</w:t>
      </w:r>
      <w:r>
        <w:rPr>
          <w:rFonts w:ascii="仿宋_GB2312" w:hAnsi="仿宋" w:eastAsia="仿宋_GB2312"/>
          <w:color w:val="000000"/>
          <w:kern w:val="0"/>
          <w:sz w:val="32"/>
          <w:szCs w:val="32"/>
          <w:lang w:val="zh-CN"/>
        </w:rPr>
        <w:t>左右的实验教学示范中心建设项目，</w:t>
      </w:r>
      <w:r>
        <w:rPr>
          <w:rFonts w:hint="eastAsia" w:ascii="仿宋_GB2312" w:hAnsi="仿宋" w:eastAsia="仿宋_GB2312" w:cs="宋体"/>
          <w:color w:val="000000"/>
          <w:kern w:val="0"/>
          <w:sz w:val="32"/>
          <w:szCs w:val="32"/>
        </w:rPr>
        <w:t>重点支持学科布点较少、教学效益</w:t>
      </w:r>
      <w:r>
        <w:rPr>
          <w:rFonts w:ascii="仿宋_GB2312" w:hAnsi="仿宋" w:eastAsia="仿宋_GB2312" w:cs="宋体"/>
          <w:color w:val="000000"/>
          <w:kern w:val="0"/>
          <w:sz w:val="32"/>
          <w:szCs w:val="32"/>
        </w:rPr>
        <w:t>高</w:t>
      </w:r>
      <w:r>
        <w:rPr>
          <w:rFonts w:hint="eastAsia" w:ascii="仿宋_GB2312" w:hAnsi="仿宋" w:eastAsia="仿宋_GB2312" w:cs="宋体"/>
          <w:color w:val="000000"/>
          <w:kern w:val="0"/>
          <w:sz w:val="32"/>
          <w:szCs w:val="32"/>
        </w:rPr>
        <w:t>、</w:t>
      </w:r>
      <w:r>
        <w:rPr>
          <w:rFonts w:ascii="仿宋_GB2312" w:hAnsi="仿宋" w:eastAsia="仿宋_GB2312" w:cs="宋体"/>
          <w:color w:val="000000"/>
          <w:kern w:val="0"/>
          <w:sz w:val="32"/>
          <w:szCs w:val="32"/>
        </w:rPr>
        <w:t>共享面广的</w:t>
      </w:r>
      <w:r>
        <w:rPr>
          <w:rFonts w:hint="eastAsia" w:ascii="仿宋_GB2312" w:hAnsi="仿宋" w:eastAsia="仿宋_GB2312" w:cs="宋体"/>
          <w:color w:val="000000"/>
          <w:kern w:val="0"/>
          <w:sz w:val="32"/>
          <w:szCs w:val="32"/>
        </w:rPr>
        <w:t>示范中心</w:t>
      </w:r>
      <w:r>
        <w:rPr>
          <w:rFonts w:ascii="仿宋_GB2312" w:hAnsi="仿宋" w:eastAsia="仿宋_GB2312" w:cs="宋体"/>
          <w:color w:val="000000"/>
          <w:kern w:val="0"/>
          <w:sz w:val="32"/>
          <w:szCs w:val="32"/>
        </w:rPr>
        <w:t>建设</w:t>
      </w:r>
      <w:r>
        <w:rPr>
          <w:rFonts w:hint="eastAsia" w:ascii="仿宋_GB2312" w:hAnsi="仿宋" w:eastAsia="仿宋_GB2312" w:cs="宋体"/>
          <w:color w:val="000000"/>
          <w:kern w:val="0"/>
          <w:sz w:val="32"/>
          <w:szCs w:val="32"/>
        </w:rPr>
        <w:t>，学校</w:t>
      </w:r>
      <w:r>
        <w:rPr>
          <w:rFonts w:ascii="仿宋_GB2312" w:hAnsi="仿宋" w:eastAsia="仿宋_GB2312" w:cs="宋体"/>
          <w:color w:val="000000"/>
          <w:kern w:val="0"/>
          <w:sz w:val="32"/>
          <w:szCs w:val="32"/>
        </w:rPr>
        <w:t>已有</w:t>
      </w:r>
      <w:r>
        <w:rPr>
          <w:rFonts w:hint="eastAsia" w:ascii="仿宋_GB2312" w:hAnsi="仿宋" w:eastAsia="仿宋_GB2312" w:cs="宋体"/>
          <w:color w:val="000000"/>
          <w:kern w:val="0"/>
          <w:sz w:val="32"/>
          <w:szCs w:val="32"/>
        </w:rPr>
        <w:t>相似省级</w:t>
      </w:r>
      <w:r>
        <w:rPr>
          <w:rFonts w:ascii="仿宋_GB2312" w:hAnsi="仿宋" w:eastAsia="仿宋_GB2312" w:cs="宋体"/>
          <w:color w:val="000000"/>
          <w:kern w:val="0"/>
          <w:sz w:val="32"/>
          <w:szCs w:val="32"/>
        </w:rPr>
        <w:t>实验教学示范中心建设项目的原则上不再立项，</w:t>
      </w:r>
      <w:r>
        <w:rPr>
          <w:rFonts w:hint="eastAsia" w:ascii="仿宋_GB2312" w:hAnsi="仿宋" w:eastAsia="仿宋_GB2312" w:cs="宋体"/>
          <w:color w:val="000000"/>
          <w:kern w:val="0"/>
          <w:sz w:val="32"/>
          <w:szCs w:val="32"/>
        </w:rPr>
        <w:t>区域内</w:t>
      </w:r>
      <w:r>
        <w:rPr>
          <w:rFonts w:ascii="仿宋_GB2312" w:hAnsi="仿宋" w:eastAsia="仿宋_GB2312" w:cs="宋体"/>
          <w:color w:val="000000"/>
          <w:kern w:val="0"/>
          <w:sz w:val="32"/>
          <w:szCs w:val="32"/>
        </w:rPr>
        <w:t>布点</w:t>
      </w:r>
      <w:r>
        <w:rPr>
          <w:rFonts w:hint="eastAsia" w:ascii="仿宋_GB2312" w:hAnsi="仿宋" w:eastAsia="仿宋_GB2312" w:cs="宋体"/>
          <w:color w:val="000000"/>
          <w:kern w:val="0"/>
          <w:sz w:val="32"/>
          <w:szCs w:val="32"/>
        </w:rPr>
        <w:t>相同</w:t>
      </w:r>
      <w:r>
        <w:rPr>
          <w:rFonts w:ascii="仿宋_GB2312" w:hAnsi="仿宋" w:eastAsia="仿宋_GB2312" w:cs="宋体"/>
          <w:color w:val="000000"/>
          <w:kern w:val="0"/>
          <w:sz w:val="32"/>
          <w:szCs w:val="32"/>
        </w:rPr>
        <w:t>学科或专业的示范中心原则上不再立项，实验教学示范中心负责人要求必须</w:t>
      </w:r>
      <w:r>
        <w:rPr>
          <w:rFonts w:hint="eastAsia" w:ascii="仿宋_GB2312" w:hAnsi="仿宋" w:eastAsia="仿宋_GB2312" w:cs="宋体"/>
          <w:color w:val="000000"/>
          <w:kern w:val="0"/>
          <w:sz w:val="32"/>
          <w:szCs w:val="32"/>
        </w:rPr>
        <w:t>有</w:t>
      </w:r>
      <w:r>
        <w:rPr>
          <w:rFonts w:ascii="仿宋_GB2312" w:hAnsi="仿宋" w:eastAsia="仿宋_GB2312" w:cs="宋体"/>
          <w:color w:val="000000"/>
          <w:kern w:val="0"/>
          <w:sz w:val="32"/>
          <w:szCs w:val="32"/>
        </w:rPr>
        <w:t>正高级职称，</w:t>
      </w:r>
      <w:r>
        <w:rPr>
          <w:rFonts w:hint="eastAsia" w:ascii="仿宋_GB2312" w:hAnsi="仿宋" w:eastAsia="仿宋_GB2312" w:cs="宋体"/>
          <w:color w:val="000000"/>
          <w:kern w:val="0"/>
          <w:sz w:val="32"/>
          <w:szCs w:val="32"/>
        </w:rPr>
        <w:t>实验教学队伍结构合理，人员充足</w:t>
      </w:r>
      <w:r>
        <w:rPr>
          <w:rFonts w:ascii="仿宋_GB2312" w:hAnsi="仿宋" w:eastAsia="仿宋_GB2312" w:cs="宋体"/>
          <w:color w:val="000000"/>
          <w:kern w:val="0"/>
          <w:sz w:val="32"/>
          <w:szCs w:val="32"/>
        </w:rPr>
        <w:t>。</w:t>
      </w:r>
    </w:p>
    <w:p>
      <w:pPr>
        <w:ind w:firstLine="640" w:firstLineChars="200"/>
        <w:rPr>
          <w:rFonts w:ascii="仿宋_GB2312" w:hAnsi="仿宋" w:eastAsia="仿宋_GB2312" w:cs="宋体"/>
          <w:color w:val="000000"/>
          <w:kern w:val="0"/>
          <w:sz w:val="32"/>
          <w:szCs w:val="32"/>
        </w:rPr>
      </w:pPr>
      <w:r>
        <w:rPr>
          <w:rFonts w:ascii="仿宋_GB2312" w:hAnsi="仿宋" w:eastAsia="仿宋_GB2312" w:cs="宋体"/>
          <w:color w:val="000000"/>
          <w:kern w:val="0"/>
          <w:sz w:val="32"/>
          <w:szCs w:val="32"/>
        </w:rPr>
        <w:t>3.</w:t>
      </w:r>
      <w:r>
        <w:rPr>
          <w:rFonts w:hint="eastAsia"/>
          <w:color w:val="000000"/>
        </w:rPr>
        <w:t xml:space="preserve"> </w:t>
      </w:r>
      <w:r>
        <w:rPr>
          <w:rFonts w:hint="eastAsia" w:ascii="仿宋_GB2312" w:hAnsi="仿宋" w:eastAsia="仿宋_GB2312"/>
          <w:color w:val="000000"/>
          <w:kern w:val="0"/>
          <w:sz w:val="32"/>
          <w:szCs w:val="32"/>
          <w:lang w:val="zh-CN"/>
        </w:rPr>
        <w:t>虚拟仿真实验教学示范中心。计划</w:t>
      </w:r>
      <w:r>
        <w:rPr>
          <w:rFonts w:ascii="仿宋_GB2312" w:hAnsi="仿宋" w:eastAsia="仿宋_GB2312"/>
          <w:color w:val="000000"/>
          <w:kern w:val="0"/>
          <w:sz w:val="32"/>
          <w:szCs w:val="32"/>
          <w:lang w:val="zh-CN"/>
        </w:rPr>
        <w:t>遴选</w:t>
      </w:r>
      <w:r>
        <w:rPr>
          <w:rFonts w:hint="eastAsia" w:ascii="仿宋_GB2312" w:hAnsi="仿宋" w:eastAsia="仿宋_GB2312"/>
          <w:color w:val="000000"/>
          <w:kern w:val="0"/>
          <w:sz w:val="32"/>
          <w:szCs w:val="32"/>
          <w:lang w:val="zh-CN"/>
        </w:rPr>
        <w:t>10个</w:t>
      </w:r>
      <w:r>
        <w:rPr>
          <w:rFonts w:ascii="仿宋_GB2312" w:hAnsi="仿宋" w:eastAsia="仿宋_GB2312"/>
          <w:color w:val="000000"/>
          <w:kern w:val="0"/>
          <w:sz w:val="32"/>
          <w:szCs w:val="32"/>
          <w:lang w:val="zh-CN"/>
        </w:rPr>
        <w:t>左右省级虚拟仿真实验教学示范中心，</w:t>
      </w:r>
      <w:r>
        <w:rPr>
          <w:rFonts w:hint="eastAsia" w:ascii="仿宋_GB2312" w:hAnsi="仿宋" w:eastAsia="仿宋_GB2312"/>
          <w:color w:val="000000"/>
          <w:kern w:val="0"/>
          <w:sz w:val="32"/>
          <w:szCs w:val="32"/>
          <w:lang w:val="zh-CN"/>
        </w:rPr>
        <w:t>遴选</w:t>
      </w:r>
      <w:r>
        <w:rPr>
          <w:rFonts w:ascii="仿宋_GB2312" w:hAnsi="仿宋" w:eastAsia="仿宋_GB2312"/>
          <w:color w:val="000000"/>
          <w:kern w:val="0"/>
          <w:sz w:val="32"/>
          <w:szCs w:val="32"/>
          <w:lang w:val="zh-CN"/>
        </w:rPr>
        <w:t>后直接公布认定。</w:t>
      </w:r>
      <w:r>
        <w:rPr>
          <w:rFonts w:hint="eastAsia" w:ascii="仿宋_GB2312" w:hAnsi="仿宋" w:eastAsia="仿宋_GB2312"/>
          <w:color w:val="000000"/>
          <w:kern w:val="0"/>
          <w:sz w:val="32"/>
          <w:szCs w:val="32"/>
          <w:lang w:val="zh-CN"/>
        </w:rPr>
        <w:t>虚拟仿真实验教学</w:t>
      </w:r>
      <w:r>
        <w:rPr>
          <w:rFonts w:ascii="仿宋_GB2312" w:hAnsi="仿宋" w:eastAsia="仿宋_GB2312"/>
          <w:color w:val="000000"/>
          <w:kern w:val="0"/>
          <w:sz w:val="32"/>
          <w:szCs w:val="32"/>
          <w:lang w:val="zh-CN"/>
        </w:rPr>
        <w:t>示范中心必须是已经建成的、具备一定仿真实验教学基础的中心，</w:t>
      </w:r>
      <w:r>
        <w:rPr>
          <w:rFonts w:hint="eastAsia" w:ascii="仿宋_GB2312" w:hAnsi="仿宋" w:eastAsia="仿宋_GB2312"/>
          <w:color w:val="000000"/>
          <w:kern w:val="0"/>
          <w:sz w:val="32"/>
          <w:szCs w:val="32"/>
          <w:lang w:val="zh-CN"/>
        </w:rPr>
        <w:t>虚拟教学资源丰富并拥有一批示范性虚拟仿真实验项目，虚拟仿真手段比较先进。</w:t>
      </w:r>
      <w:r>
        <w:rPr>
          <w:rFonts w:hint="eastAsia" w:ascii="仿宋_GB2312" w:hAnsi="仿宋" w:eastAsia="仿宋_GB2312" w:cs="宋体"/>
          <w:color w:val="000000"/>
          <w:kern w:val="0"/>
          <w:sz w:val="32"/>
          <w:szCs w:val="32"/>
        </w:rPr>
        <w:t>重点支持能够替代高污染、高能耗、高风险、高投入以及实体实验教学短期内无法具备条件的虚拟中心建设，与</w:t>
      </w:r>
      <w:r>
        <w:rPr>
          <w:rFonts w:ascii="仿宋_GB2312" w:hAnsi="仿宋" w:eastAsia="仿宋_GB2312" w:cs="宋体"/>
          <w:color w:val="000000"/>
          <w:kern w:val="0"/>
          <w:sz w:val="32"/>
          <w:szCs w:val="32"/>
        </w:rPr>
        <w:t>我省现有国家级虚拟仿真实验教学中心</w:t>
      </w:r>
      <w:r>
        <w:rPr>
          <w:rFonts w:hint="eastAsia" w:ascii="仿宋_GB2312" w:hAnsi="仿宋" w:eastAsia="仿宋_GB2312" w:cs="宋体"/>
          <w:color w:val="000000"/>
          <w:kern w:val="0"/>
          <w:sz w:val="32"/>
          <w:szCs w:val="32"/>
        </w:rPr>
        <w:t>重合度较高的中心，原则上不再予以支持。</w:t>
      </w:r>
    </w:p>
    <w:p>
      <w:pPr>
        <w:ind w:firstLine="640" w:firstLineChars="200"/>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4</w:t>
      </w:r>
      <w:r>
        <w:rPr>
          <w:rFonts w:ascii="仿宋_GB2312" w:hAnsi="仿宋" w:eastAsia="仿宋_GB2312" w:cs="宋体"/>
          <w:color w:val="000000"/>
          <w:kern w:val="0"/>
          <w:sz w:val="32"/>
          <w:szCs w:val="32"/>
        </w:rPr>
        <w:t>.</w:t>
      </w:r>
      <w:r>
        <w:rPr>
          <w:rFonts w:hint="eastAsia" w:ascii="仿宋_GB2312" w:hAnsi="仿宋" w:eastAsia="仿宋_GB2312" w:cs="宋体"/>
          <w:color w:val="000000"/>
          <w:kern w:val="0"/>
          <w:sz w:val="32"/>
          <w:szCs w:val="32"/>
        </w:rPr>
        <w:t>示范性虚拟仿真实验项目。2018年计划认定15个</w:t>
      </w:r>
      <w:r>
        <w:rPr>
          <w:rFonts w:ascii="仿宋_GB2312" w:hAnsi="仿宋" w:eastAsia="仿宋_GB2312" w:cs="宋体"/>
          <w:color w:val="000000"/>
          <w:kern w:val="0"/>
          <w:sz w:val="32"/>
          <w:szCs w:val="32"/>
        </w:rPr>
        <w:t>左右的省级示范性虚拟</w:t>
      </w:r>
      <w:r>
        <w:rPr>
          <w:rFonts w:hint="eastAsia" w:ascii="仿宋_GB2312" w:hAnsi="仿宋" w:eastAsia="仿宋_GB2312" w:cs="宋体"/>
          <w:color w:val="000000"/>
          <w:kern w:val="0"/>
          <w:sz w:val="32"/>
          <w:szCs w:val="32"/>
        </w:rPr>
        <w:t>仿真</w:t>
      </w:r>
      <w:r>
        <w:rPr>
          <w:rFonts w:ascii="仿宋_GB2312" w:hAnsi="仿宋" w:eastAsia="仿宋_GB2312" w:cs="宋体"/>
          <w:color w:val="000000"/>
          <w:kern w:val="0"/>
          <w:sz w:val="32"/>
          <w:szCs w:val="32"/>
        </w:rPr>
        <w:t>实验项目，</w:t>
      </w:r>
      <w:r>
        <w:rPr>
          <w:rFonts w:hint="eastAsia" w:ascii="仿宋_GB2312" w:hAnsi="仿宋" w:eastAsia="仿宋_GB2312" w:cs="宋体"/>
          <w:color w:val="000000"/>
          <w:kern w:val="0"/>
          <w:sz w:val="32"/>
          <w:szCs w:val="32"/>
        </w:rPr>
        <w:t>专业范围包括：化学类、土木类、机械类、心理学类、能源动力类、交通运输类、化工与制药类、环境科学与工程类、食品科学与工程类、医学（临床医学类、中医学类、药学类、护理学类）、生物科学类、教育学类，推进现代信息技术与实验教学项目深度融合，拓展实验教学内容广度和深度。示范性虚拟仿真实验项目应具备以学生为中心的实验教学理念、准确适宜的实验教学内容、创新多样的教学方式方法、先进可靠的实验研发技术、稳定安全的开放运行模式、敬业专业的实验教学队伍、持续改进的实验评价体系、显著示范的实验教学效果等条件。</w:t>
      </w:r>
    </w:p>
    <w:p>
      <w:pPr>
        <w:ind w:firstLine="640" w:firstLineChars="200"/>
        <w:rPr>
          <w:rFonts w:ascii="仿宋_GB2312" w:hAnsi="仿宋" w:eastAsia="仿宋_GB2312" w:cs="宋体"/>
          <w:color w:val="000000"/>
          <w:kern w:val="0"/>
          <w:sz w:val="32"/>
          <w:szCs w:val="32"/>
        </w:rPr>
      </w:pPr>
      <w:r>
        <w:rPr>
          <w:rFonts w:ascii="仿宋_GB2312" w:hAnsi="仿宋" w:eastAsia="仿宋_GB2312" w:cs="宋体"/>
          <w:color w:val="000000"/>
          <w:kern w:val="0"/>
          <w:sz w:val="32"/>
          <w:szCs w:val="32"/>
        </w:rPr>
        <w:t>5.</w:t>
      </w:r>
      <w:r>
        <w:rPr>
          <w:rFonts w:hint="eastAsia" w:ascii="仿宋_GB2312" w:hAnsi="仿宋" w:eastAsia="仿宋_GB2312" w:cs="宋体"/>
          <w:color w:val="000000"/>
          <w:kern w:val="0"/>
          <w:sz w:val="32"/>
          <w:szCs w:val="32"/>
        </w:rPr>
        <w:t>大学生实践教学基地。201</w:t>
      </w:r>
      <w:r>
        <w:rPr>
          <w:rFonts w:ascii="仿宋_GB2312" w:hAnsi="仿宋" w:eastAsia="仿宋_GB2312" w:cs="宋体"/>
          <w:color w:val="000000"/>
          <w:kern w:val="0"/>
          <w:sz w:val="32"/>
          <w:szCs w:val="32"/>
        </w:rPr>
        <w:t>8</w:t>
      </w:r>
      <w:r>
        <w:rPr>
          <w:rFonts w:hint="eastAsia" w:ascii="仿宋_GB2312" w:hAnsi="仿宋" w:eastAsia="仿宋_GB2312" w:cs="宋体"/>
          <w:color w:val="000000"/>
          <w:kern w:val="0"/>
          <w:sz w:val="32"/>
          <w:szCs w:val="32"/>
        </w:rPr>
        <w:t>年</w:t>
      </w:r>
      <w:r>
        <w:rPr>
          <w:rFonts w:ascii="仿宋_GB2312" w:hAnsi="仿宋" w:eastAsia="仿宋_GB2312" w:cs="宋体"/>
          <w:color w:val="000000"/>
          <w:kern w:val="0"/>
          <w:sz w:val="32"/>
          <w:szCs w:val="32"/>
        </w:rPr>
        <w:t>计划新立项大学生实践教学基地</w:t>
      </w:r>
      <w:r>
        <w:rPr>
          <w:rFonts w:hint="eastAsia" w:ascii="仿宋_GB2312" w:hAnsi="仿宋" w:eastAsia="仿宋_GB2312" w:cs="宋体"/>
          <w:color w:val="000000"/>
          <w:kern w:val="0"/>
          <w:sz w:val="32"/>
          <w:szCs w:val="32"/>
        </w:rPr>
        <w:t>75个。优先支持高等学校依托大型企业、事业单位、科研院所合作建设共享、共用、开放的大学生校外实践教学基地；鼓励</w:t>
      </w:r>
      <w:r>
        <w:rPr>
          <w:rFonts w:ascii="仿宋_GB2312" w:hAnsi="仿宋" w:eastAsia="仿宋_GB2312" w:cs="宋体"/>
          <w:color w:val="000000"/>
          <w:kern w:val="0"/>
          <w:sz w:val="32"/>
          <w:szCs w:val="32"/>
        </w:rPr>
        <w:t>并</w:t>
      </w:r>
      <w:r>
        <w:rPr>
          <w:rFonts w:hint="eastAsia" w:ascii="仿宋_GB2312" w:hAnsi="仿宋" w:eastAsia="仿宋_GB2312" w:cs="宋体"/>
          <w:color w:val="000000"/>
          <w:kern w:val="0"/>
          <w:sz w:val="32"/>
          <w:szCs w:val="32"/>
        </w:rPr>
        <w:t>支持</w:t>
      </w:r>
      <w:r>
        <w:rPr>
          <w:rFonts w:ascii="仿宋_GB2312" w:hAnsi="仿宋" w:eastAsia="仿宋_GB2312" w:cs="宋体"/>
          <w:color w:val="000000"/>
          <w:kern w:val="0"/>
          <w:sz w:val="32"/>
          <w:szCs w:val="32"/>
        </w:rPr>
        <w:t>高校间联合申报</w:t>
      </w:r>
      <w:r>
        <w:rPr>
          <w:rFonts w:hint="eastAsia" w:ascii="仿宋_GB2312" w:hAnsi="仿宋" w:eastAsia="仿宋_GB2312" w:cs="宋体"/>
          <w:color w:val="000000"/>
          <w:kern w:val="0"/>
          <w:sz w:val="32"/>
          <w:szCs w:val="32"/>
        </w:rPr>
        <w:t>立项。注重实践教学基地内涵建设，完善基地内部教学体系和激励制度，充分调动企业（事业单位）积极性，发挥基地实践育人功能，通过基地建设形成校企合作协同育人的稳定机制</w:t>
      </w:r>
      <w:r>
        <w:rPr>
          <w:rFonts w:ascii="仿宋_GB2312" w:hAnsi="仿宋" w:eastAsia="仿宋_GB2312" w:cs="宋体"/>
          <w:color w:val="000000"/>
          <w:kern w:val="0"/>
          <w:sz w:val="32"/>
          <w:szCs w:val="32"/>
        </w:rPr>
        <w:t>。</w:t>
      </w:r>
    </w:p>
    <w:p>
      <w:pPr>
        <w:ind w:firstLine="640" w:firstLineChars="200"/>
        <w:rPr>
          <w:rFonts w:ascii="仿宋_GB2312" w:hAnsi="仿宋" w:eastAsia="仿宋_GB2312" w:cs="宋体"/>
          <w:color w:val="000000"/>
          <w:kern w:val="0"/>
          <w:sz w:val="32"/>
          <w:szCs w:val="32"/>
        </w:rPr>
      </w:pPr>
      <w:r>
        <w:rPr>
          <w:rFonts w:ascii="仿宋_GB2312" w:hAnsi="仿宋" w:eastAsia="仿宋_GB2312" w:cs="宋体"/>
          <w:color w:val="000000"/>
          <w:kern w:val="0"/>
          <w:sz w:val="32"/>
          <w:szCs w:val="32"/>
        </w:rPr>
        <w:t>6</w:t>
      </w:r>
      <w:r>
        <w:rPr>
          <w:rFonts w:hint="eastAsia" w:ascii="仿宋_GB2312" w:hAnsi="仿宋" w:eastAsia="仿宋_GB2312" w:cs="宋体"/>
          <w:color w:val="000000"/>
          <w:kern w:val="0"/>
          <w:sz w:val="32"/>
          <w:szCs w:val="32"/>
        </w:rPr>
        <w:t>.教师教学</w:t>
      </w:r>
      <w:r>
        <w:rPr>
          <w:rFonts w:ascii="仿宋_GB2312" w:hAnsi="仿宋" w:eastAsia="仿宋_GB2312" w:cs="宋体"/>
          <w:color w:val="000000"/>
          <w:kern w:val="0"/>
          <w:sz w:val="32"/>
          <w:szCs w:val="32"/>
        </w:rPr>
        <w:t>发展中心。</w:t>
      </w:r>
      <w:r>
        <w:rPr>
          <w:rFonts w:hint="eastAsia" w:ascii="仿宋_GB2312" w:hAnsi="仿宋" w:eastAsia="仿宋_GB2312" w:cs="宋体"/>
          <w:color w:val="000000"/>
          <w:kern w:val="0"/>
          <w:sz w:val="32"/>
          <w:szCs w:val="32"/>
        </w:rPr>
        <w:t>本年</w:t>
      </w:r>
      <w:r>
        <w:rPr>
          <w:rFonts w:ascii="仿宋_GB2312" w:hAnsi="仿宋" w:eastAsia="仿宋_GB2312" w:cs="宋体"/>
          <w:color w:val="000000"/>
          <w:kern w:val="0"/>
          <w:sz w:val="32"/>
          <w:szCs w:val="32"/>
        </w:rPr>
        <w:t>度计划新建3</w:t>
      </w:r>
      <w:r>
        <w:rPr>
          <w:rFonts w:hint="eastAsia" w:ascii="仿宋_GB2312" w:hAnsi="仿宋" w:eastAsia="仿宋_GB2312" w:cs="宋体"/>
          <w:color w:val="000000"/>
          <w:kern w:val="0"/>
          <w:sz w:val="32"/>
          <w:szCs w:val="32"/>
        </w:rPr>
        <w:t>个</w:t>
      </w:r>
      <w:r>
        <w:rPr>
          <w:rFonts w:ascii="仿宋_GB2312" w:hAnsi="仿宋" w:eastAsia="仿宋_GB2312" w:cs="宋体"/>
          <w:color w:val="000000"/>
          <w:kern w:val="0"/>
          <w:sz w:val="32"/>
          <w:szCs w:val="32"/>
        </w:rPr>
        <w:t>教师教学发展中心</w:t>
      </w:r>
      <w:r>
        <w:rPr>
          <w:rFonts w:hint="eastAsia" w:ascii="仿宋_GB2312" w:hAnsi="仿宋" w:eastAsia="仿宋_GB2312" w:cs="宋体"/>
          <w:color w:val="000000"/>
          <w:kern w:val="0"/>
          <w:sz w:val="32"/>
          <w:szCs w:val="32"/>
        </w:rPr>
        <w:t>。</w:t>
      </w:r>
      <w:r>
        <w:rPr>
          <w:rFonts w:ascii="仿宋_GB2312" w:hAnsi="仿宋" w:eastAsia="仿宋_GB2312" w:cs="宋体"/>
          <w:color w:val="000000"/>
          <w:kern w:val="0"/>
          <w:sz w:val="32"/>
          <w:szCs w:val="32"/>
        </w:rPr>
        <w:t>推荐</w:t>
      </w:r>
      <w:r>
        <w:rPr>
          <w:rFonts w:hint="eastAsia" w:ascii="仿宋_GB2312" w:hAnsi="仿宋" w:eastAsia="仿宋_GB2312" w:cs="宋体"/>
          <w:color w:val="000000"/>
          <w:kern w:val="0"/>
          <w:sz w:val="32"/>
          <w:szCs w:val="32"/>
        </w:rPr>
        <w:t>成为</w:t>
      </w:r>
      <w:r>
        <w:rPr>
          <w:rFonts w:ascii="仿宋_GB2312" w:hAnsi="仿宋" w:eastAsia="仿宋_GB2312" w:cs="宋体"/>
          <w:color w:val="000000"/>
          <w:kern w:val="0"/>
          <w:sz w:val="32"/>
          <w:szCs w:val="32"/>
        </w:rPr>
        <w:t>本年度教师教学发展中心候选项目的，必须已经在校内成立专门机构，并落实了</w:t>
      </w:r>
      <w:r>
        <w:rPr>
          <w:rFonts w:hint="eastAsia" w:ascii="仿宋_GB2312" w:hAnsi="仿宋" w:eastAsia="仿宋_GB2312" w:cs="宋体"/>
          <w:color w:val="000000"/>
          <w:kern w:val="0"/>
          <w:sz w:val="32"/>
          <w:szCs w:val="32"/>
        </w:rPr>
        <w:t>中心场地、人员、设备、活动和运行经费。在上述</w:t>
      </w:r>
      <w:r>
        <w:rPr>
          <w:rFonts w:ascii="仿宋_GB2312" w:hAnsi="仿宋" w:eastAsia="仿宋_GB2312" w:cs="宋体"/>
          <w:color w:val="000000"/>
          <w:kern w:val="0"/>
          <w:sz w:val="32"/>
          <w:szCs w:val="32"/>
        </w:rPr>
        <w:t>基础上，根据学校中心既有建设基础和发展规划</w:t>
      </w:r>
      <w:r>
        <w:rPr>
          <w:rFonts w:hint="eastAsia" w:ascii="仿宋_GB2312" w:hAnsi="仿宋" w:eastAsia="仿宋_GB2312" w:cs="宋体"/>
          <w:color w:val="000000"/>
          <w:kern w:val="0"/>
          <w:sz w:val="32"/>
          <w:szCs w:val="32"/>
        </w:rPr>
        <w:t>及</w:t>
      </w:r>
      <w:r>
        <w:rPr>
          <w:rFonts w:ascii="仿宋_GB2312" w:hAnsi="仿宋" w:eastAsia="仿宋_GB2312" w:cs="宋体"/>
          <w:color w:val="000000"/>
          <w:kern w:val="0"/>
          <w:sz w:val="32"/>
          <w:szCs w:val="32"/>
        </w:rPr>
        <w:t>区域分布等因素，综合确定立项项目。</w:t>
      </w:r>
    </w:p>
    <w:p>
      <w:pPr>
        <w:ind w:firstLine="640" w:firstLineChars="200"/>
        <w:rPr>
          <w:rFonts w:ascii="仿宋_GB2312" w:hAnsi="仿宋" w:eastAsia="仿宋_GB2312" w:cs="宋体"/>
          <w:color w:val="000000"/>
          <w:kern w:val="0"/>
          <w:sz w:val="32"/>
          <w:szCs w:val="32"/>
        </w:rPr>
      </w:pPr>
      <w:r>
        <w:rPr>
          <w:rFonts w:ascii="仿宋_GB2312" w:hAnsi="仿宋" w:eastAsia="仿宋_GB2312" w:cs="宋体"/>
          <w:color w:val="000000"/>
          <w:kern w:val="0"/>
          <w:sz w:val="32"/>
          <w:szCs w:val="32"/>
        </w:rPr>
        <w:t>7</w:t>
      </w:r>
      <w:r>
        <w:rPr>
          <w:rFonts w:hint="eastAsia" w:ascii="仿宋_GB2312" w:hAnsi="仿宋" w:eastAsia="仿宋_GB2312" w:cs="宋体"/>
          <w:color w:val="000000"/>
          <w:kern w:val="0"/>
          <w:sz w:val="32"/>
          <w:szCs w:val="32"/>
        </w:rPr>
        <w:t>.教学</w:t>
      </w:r>
      <w:r>
        <w:rPr>
          <w:rFonts w:ascii="仿宋_GB2312" w:hAnsi="仿宋" w:eastAsia="仿宋_GB2312" w:cs="宋体"/>
          <w:color w:val="000000"/>
          <w:kern w:val="0"/>
          <w:sz w:val="32"/>
          <w:szCs w:val="32"/>
        </w:rPr>
        <w:t>团队。</w:t>
      </w:r>
      <w:r>
        <w:rPr>
          <w:rFonts w:hint="eastAsia" w:ascii="仿宋_GB2312" w:hAnsi="仿宋" w:eastAsia="仿宋_GB2312" w:cs="宋体"/>
          <w:color w:val="000000"/>
          <w:kern w:val="0"/>
          <w:sz w:val="32"/>
          <w:szCs w:val="32"/>
        </w:rPr>
        <w:t>计划</w:t>
      </w:r>
      <w:r>
        <w:rPr>
          <w:rFonts w:ascii="仿宋_GB2312" w:hAnsi="仿宋" w:eastAsia="仿宋_GB2312" w:cs="宋体"/>
          <w:color w:val="000000"/>
          <w:kern w:val="0"/>
          <w:sz w:val="32"/>
          <w:szCs w:val="32"/>
        </w:rPr>
        <w:t>新立项</w:t>
      </w:r>
      <w:r>
        <w:rPr>
          <w:rFonts w:hint="eastAsia" w:ascii="仿宋_GB2312" w:hAnsi="仿宋" w:eastAsia="仿宋_GB2312" w:cs="宋体"/>
          <w:color w:val="000000"/>
          <w:kern w:val="0"/>
          <w:sz w:val="32"/>
          <w:szCs w:val="32"/>
        </w:rPr>
        <w:t>30个</w:t>
      </w:r>
      <w:r>
        <w:rPr>
          <w:rFonts w:ascii="仿宋_GB2312" w:hAnsi="仿宋" w:eastAsia="仿宋_GB2312" w:cs="宋体"/>
          <w:color w:val="000000"/>
          <w:kern w:val="0"/>
          <w:sz w:val="32"/>
          <w:szCs w:val="32"/>
        </w:rPr>
        <w:t>左右的教学团队建设项目。</w:t>
      </w:r>
      <w:r>
        <w:rPr>
          <w:rFonts w:hint="eastAsia" w:ascii="仿宋_GB2312" w:hAnsi="仿宋" w:eastAsia="仿宋_GB2312" w:cs="宋体"/>
          <w:color w:val="000000"/>
          <w:kern w:val="0"/>
          <w:sz w:val="32"/>
          <w:szCs w:val="32"/>
        </w:rPr>
        <w:t>教学</w:t>
      </w:r>
      <w:r>
        <w:rPr>
          <w:rFonts w:ascii="仿宋_GB2312" w:hAnsi="仿宋" w:eastAsia="仿宋_GB2312" w:cs="宋体"/>
          <w:color w:val="000000"/>
          <w:kern w:val="0"/>
          <w:sz w:val="32"/>
          <w:szCs w:val="32"/>
        </w:rPr>
        <w:t>团队建设要求</w:t>
      </w:r>
      <w:r>
        <w:rPr>
          <w:rFonts w:hint="eastAsia" w:ascii="仿宋_GB2312" w:hAnsi="仿宋" w:eastAsia="仿宋_GB2312" w:cs="宋体"/>
          <w:color w:val="000000"/>
          <w:kern w:val="0"/>
          <w:sz w:val="32"/>
          <w:szCs w:val="32"/>
        </w:rPr>
        <w:t>团队带头人应为本学科(专业)领域的知名专家，正高级职称，具有较强的引领青年教师发展的能力。教学团队负责人近五年主持省部级以上</w:t>
      </w:r>
      <w:r>
        <w:rPr>
          <w:rFonts w:ascii="仿宋_GB2312" w:hAnsi="仿宋" w:eastAsia="仿宋_GB2312" w:cs="宋体"/>
          <w:color w:val="000000"/>
          <w:kern w:val="0"/>
          <w:sz w:val="32"/>
          <w:szCs w:val="32"/>
        </w:rPr>
        <w:t>教学、科研项目</w:t>
      </w:r>
      <w:r>
        <w:rPr>
          <w:rFonts w:hint="eastAsia" w:ascii="仿宋_GB2312" w:hAnsi="仿宋" w:eastAsia="仿宋_GB2312" w:cs="宋体"/>
          <w:color w:val="000000"/>
          <w:kern w:val="0"/>
          <w:sz w:val="32"/>
          <w:szCs w:val="32"/>
        </w:rPr>
        <w:t>较多</w:t>
      </w:r>
      <w:r>
        <w:rPr>
          <w:rFonts w:ascii="仿宋_GB2312" w:hAnsi="仿宋" w:eastAsia="仿宋_GB2312" w:cs="宋体"/>
          <w:color w:val="000000"/>
          <w:kern w:val="0"/>
          <w:sz w:val="32"/>
          <w:szCs w:val="32"/>
        </w:rPr>
        <w:t>，本人具有</w:t>
      </w:r>
      <w:r>
        <w:rPr>
          <w:rFonts w:hint="eastAsia" w:ascii="仿宋_GB2312" w:hAnsi="仿宋" w:eastAsia="仿宋_GB2312" w:cs="宋体"/>
          <w:color w:val="000000"/>
          <w:kern w:val="0"/>
          <w:sz w:val="32"/>
          <w:szCs w:val="32"/>
        </w:rPr>
        <w:t>强烈的意愿</w:t>
      </w:r>
      <w:r>
        <w:rPr>
          <w:rFonts w:ascii="仿宋_GB2312" w:hAnsi="仿宋" w:eastAsia="仿宋_GB2312" w:cs="宋体"/>
          <w:color w:val="000000"/>
          <w:kern w:val="0"/>
          <w:sz w:val="32"/>
          <w:szCs w:val="32"/>
        </w:rPr>
        <w:t>和</w:t>
      </w:r>
      <w:r>
        <w:rPr>
          <w:rFonts w:hint="eastAsia" w:ascii="仿宋_GB2312" w:hAnsi="仿宋" w:eastAsia="仿宋_GB2312" w:cs="宋体"/>
          <w:color w:val="000000"/>
          <w:kern w:val="0"/>
          <w:sz w:val="32"/>
          <w:szCs w:val="32"/>
        </w:rPr>
        <w:t>较高的学术水平，并愿意长期</w:t>
      </w:r>
      <w:r>
        <w:rPr>
          <w:rFonts w:ascii="仿宋_GB2312" w:hAnsi="仿宋" w:eastAsia="仿宋_GB2312" w:cs="宋体"/>
          <w:color w:val="000000"/>
          <w:kern w:val="0"/>
          <w:sz w:val="32"/>
          <w:szCs w:val="32"/>
        </w:rPr>
        <w:t>致力于团队建设，熟悉本学科、专业的教学改革工作，</w:t>
      </w:r>
      <w:r>
        <w:rPr>
          <w:rFonts w:hint="eastAsia" w:ascii="仿宋_GB2312" w:hAnsi="仿宋" w:eastAsia="仿宋_GB2312" w:cs="宋体"/>
          <w:color w:val="000000"/>
          <w:kern w:val="0"/>
          <w:sz w:val="32"/>
          <w:szCs w:val="32"/>
        </w:rPr>
        <w:t>为本学科发展做出较突出的贡献。团队具有良好的梯队结构，老、中、青结合，可持续发展趋势好；团队学缘结构、职称结构、知识结构合理，规模适度；团队成员整体素质高，具有博士学位教师的比例高，团队内部工作制度完备，具有良好的合作基础。</w:t>
      </w:r>
    </w:p>
    <w:p>
      <w:pPr>
        <w:ind w:firstLine="640" w:firstLineChars="200"/>
        <w:rPr>
          <w:rFonts w:ascii="仿宋_GB2312" w:hAnsi="仿宋" w:eastAsia="仿宋_GB2312" w:cs="宋体"/>
          <w:color w:val="000000"/>
          <w:kern w:val="0"/>
          <w:sz w:val="32"/>
          <w:szCs w:val="32"/>
        </w:rPr>
      </w:pPr>
      <w:r>
        <w:rPr>
          <w:rFonts w:ascii="仿宋_GB2312" w:hAnsi="仿宋" w:eastAsia="仿宋_GB2312" w:cs="宋体"/>
          <w:color w:val="000000"/>
          <w:kern w:val="0"/>
          <w:sz w:val="32"/>
          <w:szCs w:val="32"/>
        </w:rPr>
        <w:t>8</w:t>
      </w:r>
      <w:r>
        <w:rPr>
          <w:rFonts w:hint="eastAsia" w:ascii="仿宋_GB2312" w:hAnsi="仿宋" w:eastAsia="仿宋_GB2312" w:cs="宋体"/>
          <w:color w:val="000000"/>
          <w:kern w:val="0"/>
          <w:sz w:val="32"/>
          <w:szCs w:val="32"/>
        </w:rPr>
        <w:t>.产业学院</w:t>
      </w:r>
      <w:r>
        <w:rPr>
          <w:rFonts w:ascii="仿宋_GB2312" w:hAnsi="仿宋" w:eastAsia="仿宋_GB2312" w:cs="宋体"/>
          <w:color w:val="000000"/>
          <w:kern w:val="0"/>
          <w:sz w:val="32"/>
          <w:szCs w:val="32"/>
        </w:rPr>
        <w:t>。</w:t>
      </w:r>
      <w:r>
        <w:rPr>
          <w:rFonts w:hint="eastAsia" w:ascii="仿宋_GB2312" w:hAnsi="仿宋" w:eastAsia="仿宋_GB2312" w:cs="宋体"/>
          <w:color w:val="000000"/>
          <w:kern w:val="0"/>
          <w:sz w:val="32"/>
          <w:szCs w:val="32"/>
        </w:rPr>
        <w:t>参照试点学院的建设模式，201</w:t>
      </w:r>
      <w:r>
        <w:rPr>
          <w:rFonts w:ascii="仿宋_GB2312" w:hAnsi="仿宋" w:eastAsia="仿宋_GB2312" w:cs="宋体"/>
          <w:color w:val="000000"/>
          <w:kern w:val="0"/>
          <w:sz w:val="32"/>
          <w:szCs w:val="32"/>
        </w:rPr>
        <w:t>8</w:t>
      </w:r>
      <w:r>
        <w:rPr>
          <w:rFonts w:hint="eastAsia" w:ascii="仿宋_GB2312" w:hAnsi="仿宋" w:eastAsia="仿宋_GB2312" w:cs="宋体"/>
          <w:color w:val="000000"/>
          <w:kern w:val="0"/>
          <w:sz w:val="32"/>
          <w:szCs w:val="32"/>
        </w:rPr>
        <w:t>年</w:t>
      </w:r>
      <w:r>
        <w:rPr>
          <w:rFonts w:ascii="仿宋_GB2312" w:hAnsi="仿宋" w:eastAsia="仿宋_GB2312" w:cs="宋体"/>
          <w:color w:val="000000"/>
          <w:kern w:val="0"/>
          <w:sz w:val="32"/>
          <w:szCs w:val="32"/>
        </w:rPr>
        <w:t>计划新立项建设10</w:t>
      </w:r>
      <w:r>
        <w:rPr>
          <w:rFonts w:hint="eastAsia" w:ascii="仿宋_GB2312" w:hAnsi="仿宋" w:eastAsia="仿宋_GB2312" w:cs="宋体"/>
          <w:color w:val="000000"/>
          <w:kern w:val="0"/>
          <w:sz w:val="32"/>
          <w:szCs w:val="32"/>
        </w:rPr>
        <w:t>个左右</w:t>
      </w:r>
      <w:r>
        <w:rPr>
          <w:rFonts w:ascii="仿宋_GB2312" w:hAnsi="仿宋" w:eastAsia="仿宋_GB2312" w:cs="宋体"/>
          <w:color w:val="000000"/>
          <w:kern w:val="0"/>
          <w:sz w:val="32"/>
          <w:szCs w:val="32"/>
        </w:rPr>
        <w:t>的</w:t>
      </w:r>
      <w:r>
        <w:rPr>
          <w:rFonts w:hint="eastAsia" w:ascii="仿宋_GB2312" w:hAnsi="仿宋" w:eastAsia="仿宋_GB2312" w:cs="宋体"/>
          <w:color w:val="000000"/>
          <w:kern w:val="0"/>
          <w:sz w:val="32"/>
          <w:szCs w:val="32"/>
        </w:rPr>
        <w:t>产业</w:t>
      </w:r>
      <w:r>
        <w:rPr>
          <w:rFonts w:ascii="仿宋_GB2312" w:hAnsi="仿宋" w:eastAsia="仿宋_GB2312" w:cs="宋体"/>
          <w:color w:val="000000"/>
          <w:kern w:val="0"/>
          <w:sz w:val="32"/>
          <w:szCs w:val="32"/>
        </w:rPr>
        <w:t>学院</w:t>
      </w:r>
      <w:r>
        <w:rPr>
          <w:rFonts w:hint="eastAsia" w:ascii="仿宋_GB2312" w:hAnsi="仿宋" w:eastAsia="仿宋_GB2312" w:cs="宋体"/>
          <w:color w:val="000000"/>
          <w:kern w:val="0"/>
          <w:sz w:val="32"/>
          <w:szCs w:val="32"/>
        </w:rPr>
        <w:t>。学院建设面向我省支柱产业或战略新兴产业，有效整合了校内学科专业资源及行业企业教育资源，与产业契合度高，主要合作对象中包含产业行业领域龙头企业（园区），对产业发展具有引领作用。企业（行业协会、园区）深度参与学院决策、建设、教学、管理、执行等各方面，形成了的稳定有序的管理架构，建立了产学合作的长效机制，并配套了科学完备的运行制度。建设各方持续支持学院建设，并形成稳定的投入机制。</w:t>
      </w:r>
    </w:p>
    <w:p>
      <w:pPr>
        <w:ind w:firstLine="640" w:firstLineChars="200"/>
        <w:rPr>
          <w:rFonts w:ascii="仿宋_GB2312" w:hAnsi="仿宋" w:eastAsia="仿宋_GB2312" w:cs="宋体"/>
          <w:color w:val="000000"/>
          <w:kern w:val="0"/>
          <w:sz w:val="32"/>
          <w:szCs w:val="32"/>
        </w:rPr>
      </w:pPr>
      <w:r>
        <w:rPr>
          <w:rFonts w:ascii="仿宋_GB2312" w:hAnsi="仿宋" w:eastAsia="仿宋_GB2312" w:cs="宋体"/>
          <w:color w:val="000000"/>
          <w:kern w:val="0"/>
          <w:sz w:val="32"/>
          <w:szCs w:val="32"/>
        </w:rPr>
        <w:t>9.</w:t>
      </w:r>
      <w:r>
        <w:rPr>
          <w:rFonts w:hint="eastAsia" w:ascii="仿宋_GB2312" w:hAnsi="仿宋" w:eastAsia="仿宋_GB2312" w:cs="宋体"/>
          <w:color w:val="000000"/>
          <w:kern w:val="0"/>
          <w:sz w:val="32"/>
          <w:szCs w:val="32"/>
        </w:rPr>
        <w:t>重点专业</w:t>
      </w:r>
      <w:r>
        <w:rPr>
          <w:rFonts w:ascii="仿宋_GB2312" w:hAnsi="仿宋" w:eastAsia="仿宋_GB2312" w:cs="宋体"/>
          <w:color w:val="000000"/>
          <w:kern w:val="0"/>
          <w:sz w:val="32"/>
          <w:szCs w:val="32"/>
        </w:rPr>
        <w:t>。</w:t>
      </w:r>
      <w:r>
        <w:rPr>
          <w:rFonts w:hint="eastAsia" w:ascii="仿宋_GB2312" w:hAnsi="仿宋" w:eastAsia="仿宋_GB2312" w:cs="宋体"/>
          <w:color w:val="000000"/>
          <w:kern w:val="0"/>
          <w:sz w:val="32"/>
          <w:szCs w:val="32"/>
        </w:rPr>
        <w:t>计划</w:t>
      </w:r>
      <w:r>
        <w:rPr>
          <w:rFonts w:ascii="仿宋_GB2312" w:hAnsi="仿宋" w:eastAsia="仿宋_GB2312" w:cs="宋体"/>
          <w:color w:val="000000"/>
          <w:kern w:val="0"/>
          <w:sz w:val="32"/>
          <w:szCs w:val="32"/>
        </w:rPr>
        <w:t>新立项建设15</w:t>
      </w:r>
      <w:r>
        <w:rPr>
          <w:rFonts w:hint="eastAsia" w:ascii="仿宋_GB2312" w:hAnsi="仿宋" w:eastAsia="仿宋_GB2312" w:cs="宋体"/>
          <w:color w:val="000000"/>
          <w:kern w:val="0"/>
          <w:sz w:val="32"/>
          <w:szCs w:val="32"/>
        </w:rPr>
        <w:t>个</w:t>
      </w:r>
      <w:r>
        <w:rPr>
          <w:rFonts w:ascii="仿宋_GB2312" w:hAnsi="仿宋" w:eastAsia="仿宋_GB2312" w:cs="宋体"/>
          <w:color w:val="000000"/>
          <w:kern w:val="0"/>
          <w:sz w:val="32"/>
          <w:szCs w:val="32"/>
        </w:rPr>
        <w:t>左右的省级重点专业。</w:t>
      </w:r>
      <w:r>
        <w:rPr>
          <w:rFonts w:hint="eastAsia" w:ascii="仿宋_GB2312" w:hAnsi="仿宋" w:eastAsia="仿宋_GB2312" w:cs="宋体"/>
          <w:color w:val="000000"/>
          <w:kern w:val="0"/>
          <w:sz w:val="32"/>
          <w:szCs w:val="32"/>
        </w:rPr>
        <w:t>重点扶持</w:t>
      </w:r>
      <w:r>
        <w:rPr>
          <w:rFonts w:ascii="仿宋_GB2312" w:hAnsi="仿宋" w:eastAsia="仿宋_GB2312" w:cs="宋体"/>
          <w:color w:val="000000"/>
          <w:kern w:val="0"/>
          <w:sz w:val="32"/>
          <w:szCs w:val="32"/>
        </w:rPr>
        <w:t>高水平大学、高水平</w:t>
      </w:r>
      <w:r>
        <w:rPr>
          <w:rFonts w:hint="eastAsia" w:ascii="仿宋_GB2312" w:hAnsi="仿宋" w:eastAsia="仿宋_GB2312" w:cs="宋体"/>
          <w:color w:val="000000"/>
          <w:kern w:val="0"/>
          <w:sz w:val="32"/>
          <w:szCs w:val="32"/>
        </w:rPr>
        <w:t>理工科</w:t>
      </w:r>
      <w:r>
        <w:rPr>
          <w:rFonts w:ascii="仿宋_GB2312" w:hAnsi="仿宋" w:eastAsia="仿宋_GB2312" w:cs="宋体"/>
          <w:color w:val="000000"/>
          <w:kern w:val="0"/>
          <w:sz w:val="32"/>
          <w:szCs w:val="32"/>
        </w:rPr>
        <w:t>大学</w:t>
      </w:r>
      <w:r>
        <w:rPr>
          <w:rFonts w:hint="eastAsia" w:ascii="仿宋_GB2312" w:hAnsi="仿宋" w:eastAsia="仿宋_GB2312" w:cs="宋体"/>
          <w:color w:val="000000"/>
          <w:kern w:val="0"/>
          <w:sz w:val="32"/>
          <w:szCs w:val="32"/>
        </w:rPr>
        <w:t>、转型试点高校</w:t>
      </w:r>
      <w:r>
        <w:rPr>
          <w:rFonts w:ascii="仿宋_GB2312" w:hAnsi="仿宋" w:eastAsia="仿宋_GB2312" w:cs="宋体"/>
          <w:color w:val="000000"/>
          <w:kern w:val="0"/>
          <w:sz w:val="32"/>
          <w:szCs w:val="32"/>
        </w:rPr>
        <w:t>建设一批</w:t>
      </w:r>
      <w:r>
        <w:rPr>
          <w:rFonts w:hint="eastAsia" w:ascii="仿宋_GB2312" w:hAnsi="仿宋" w:eastAsia="仿宋_GB2312" w:cs="宋体"/>
          <w:color w:val="000000"/>
          <w:kern w:val="0"/>
          <w:sz w:val="32"/>
          <w:szCs w:val="32"/>
        </w:rPr>
        <w:t>基础学科</w:t>
      </w:r>
      <w:r>
        <w:rPr>
          <w:rFonts w:ascii="仿宋_GB2312" w:hAnsi="仿宋" w:eastAsia="仿宋_GB2312" w:cs="宋体"/>
          <w:color w:val="000000"/>
          <w:kern w:val="0"/>
          <w:sz w:val="32"/>
          <w:szCs w:val="32"/>
        </w:rPr>
        <w:t>重点专业</w:t>
      </w:r>
      <w:r>
        <w:rPr>
          <w:rFonts w:hint="eastAsia" w:ascii="仿宋_GB2312" w:hAnsi="仿宋" w:eastAsia="仿宋_GB2312" w:cs="宋体"/>
          <w:color w:val="000000"/>
          <w:kern w:val="0"/>
          <w:sz w:val="32"/>
          <w:szCs w:val="32"/>
        </w:rPr>
        <w:t>以及</w:t>
      </w:r>
      <w:r>
        <w:rPr>
          <w:rFonts w:ascii="仿宋_GB2312" w:hAnsi="仿宋" w:eastAsia="仿宋_GB2312" w:cs="宋体"/>
          <w:color w:val="000000"/>
          <w:kern w:val="0"/>
          <w:sz w:val="32"/>
          <w:szCs w:val="32"/>
        </w:rPr>
        <w:t>服务于我省支柱产业</w:t>
      </w:r>
      <w:r>
        <w:rPr>
          <w:rFonts w:hint="eastAsia" w:ascii="仿宋_GB2312" w:hAnsi="仿宋" w:eastAsia="仿宋_GB2312" w:cs="宋体"/>
          <w:color w:val="000000"/>
          <w:kern w:val="0"/>
          <w:sz w:val="32"/>
          <w:szCs w:val="32"/>
        </w:rPr>
        <w:t>、</w:t>
      </w:r>
      <w:r>
        <w:rPr>
          <w:rFonts w:ascii="仿宋_GB2312" w:hAnsi="仿宋" w:eastAsia="仿宋_GB2312" w:cs="宋体"/>
          <w:color w:val="000000"/>
          <w:kern w:val="0"/>
          <w:sz w:val="32"/>
          <w:szCs w:val="32"/>
        </w:rPr>
        <w:t>办学历史悠久，在全省乃至全国范围内</w:t>
      </w:r>
      <w:r>
        <w:rPr>
          <w:rFonts w:hint="eastAsia" w:ascii="仿宋_GB2312" w:hAnsi="仿宋" w:eastAsia="仿宋_GB2312" w:cs="宋体"/>
          <w:color w:val="000000"/>
          <w:kern w:val="0"/>
          <w:sz w:val="32"/>
          <w:szCs w:val="32"/>
        </w:rPr>
        <w:t>综合实力</w:t>
      </w:r>
      <w:r>
        <w:rPr>
          <w:rFonts w:ascii="仿宋_GB2312" w:hAnsi="仿宋" w:eastAsia="仿宋_GB2312" w:cs="宋体"/>
          <w:color w:val="000000"/>
          <w:kern w:val="0"/>
          <w:sz w:val="32"/>
          <w:szCs w:val="32"/>
        </w:rPr>
        <w:t>突出的相关</w:t>
      </w:r>
      <w:r>
        <w:rPr>
          <w:rFonts w:hint="eastAsia" w:ascii="仿宋_GB2312" w:hAnsi="仿宋" w:eastAsia="仿宋_GB2312" w:cs="宋体"/>
          <w:color w:val="000000"/>
          <w:kern w:val="0"/>
          <w:sz w:val="32"/>
          <w:szCs w:val="32"/>
        </w:rPr>
        <w:t>专业</w:t>
      </w:r>
      <w:r>
        <w:rPr>
          <w:rFonts w:ascii="仿宋_GB2312" w:hAnsi="仿宋" w:eastAsia="仿宋_GB2312" w:cs="宋体"/>
          <w:color w:val="000000"/>
          <w:kern w:val="0"/>
          <w:sz w:val="32"/>
          <w:szCs w:val="32"/>
        </w:rPr>
        <w:t>。要求</w:t>
      </w:r>
      <w:r>
        <w:rPr>
          <w:rFonts w:hint="eastAsia" w:ascii="仿宋_GB2312" w:hAnsi="仿宋" w:eastAsia="仿宋_GB2312" w:cs="宋体"/>
          <w:color w:val="000000"/>
          <w:kern w:val="0"/>
          <w:sz w:val="32"/>
          <w:szCs w:val="32"/>
        </w:rPr>
        <w:t>专业教学（实践</w:t>
      </w:r>
      <w:r>
        <w:rPr>
          <w:rFonts w:ascii="仿宋_GB2312" w:hAnsi="仿宋" w:eastAsia="仿宋_GB2312" w:cs="宋体"/>
          <w:color w:val="000000"/>
          <w:kern w:val="0"/>
          <w:sz w:val="32"/>
          <w:szCs w:val="32"/>
        </w:rPr>
        <w:t>）</w:t>
      </w:r>
      <w:r>
        <w:rPr>
          <w:rFonts w:hint="eastAsia" w:ascii="仿宋_GB2312" w:hAnsi="仿宋" w:eastAsia="仿宋_GB2312" w:cs="宋体"/>
          <w:color w:val="000000"/>
          <w:kern w:val="0"/>
          <w:sz w:val="32"/>
          <w:szCs w:val="32"/>
        </w:rPr>
        <w:t>条件、</w:t>
      </w:r>
      <w:r>
        <w:rPr>
          <w:rFonts w:ascii="仿宋_GB2312" w:hAnsi="仿宋" w:eastAsia="仿宋_GB2312" w:cs="宋体"/>
          <w:color w:val="000000"/>
          <w:kern w:val="0"/>
          <w:sz w:val="32"/>
          <w:szCs w:val="32"/>
        </w:rPr>
        <w:t>师资队伍、教学管理等综合实力</w:t>
      </w:r>
      <w:r>
        <w:rPr>
          <w:rFonts w:hint="eastAsia" w:ascii="仿宋_GB2312" w:hAnsi="仿宋" w:eastAsia="仿宋_GB2312" w:cs="宋体"/>
          <w:color w:val="000000"/>
          <w:kern w:val="0"/>
          <w:sz w:val="32"/>
          <w:szCs w:val="32"/>
        </w:rPr>
        <w:t>处于全省</w:t>
      </w:r>
      <w:r>
        <w:rPr>
          <w:rFonts w:ascii="仿宋_GB2312" w:hAnsi="仿宋" w:eastAsia="仿宋_GB2312" w:cs="宋体"/>
          <w:color w:val="000000"/>
          <w:kern w:val="0"/>
          <w:sz w:val="32"/>
          <w:szCs w:val="32"/>
        </w:rPr>
        <w:t>前列，且</w:t>
      </w:r>
      <w:r>
        <w:rPr>
          <w:rFonts w:hint="eastAsia" w:ascii="仿宋_GB2312" w:hAnsi="仿宋" w:eastAsia="仿宋_GB2312" w:cs="宋体"/>
          <w:color w:val="000000"/>
          <w:kern w:val="0"/>
          <w:sz w:val="32"/>
          <w:szCs w:val="32"/>
        </w:rPr>
        <w:t>专业负责人</w:t>
      </w:r>
      <w:r>
        <w:rPr>
          <w:rFonts w:ascii="仿宋_GB2312" w:hAnsi="仿宋" w:eastAsia="仿宋_GB2312" w:cs="宋体"/>
          <w:color w:val="000000"/>
          <w:kern w:val="0"/>
          <w:sz w:val="32"/>
          <w:szCs w:val="32"/>
        </w:rPr>
        <w:t>在全省和全国范围内具有</w:t>
      </w:r>
      <w:r>
        <w:rPr>
          <w:rFonts w:hint="eastAsia" w:ascii="仿宋_GB2312" w:hAnsi="仿宋" w:eastAsia="仿宋_GB2312" w:cs="宋体"/>
          <w:color w:val="000000"/>
          <w:kern w:val="0"/>
          <w:sz w:val="32"/>
          <w:szCs w:val="32"/>
        </w:rPr>
        <w:t>重要</w:t>
      </w:r>
      <w:r>
        <w:rPr>
          <w:rFonts w:ascii="仿宋_GB2312" w:hAnsi="仿宋" w:eastAsia="仿宋_GB2312" w:cs="宋体"/>
          <w:color w:val="000000"/>
          <w:kern w:val="0"/>
          <w:sz w:val="32"/>
          <w:szCs w:val="32"/>
        </w:rPr>
        <w:t>学术地位和一定影响力，</w:t>
      </w:r>
      <w:r>
        <w:rPr>
          <w:rFonts w:hint="eastAsia" w:ascii="仿宋_GB2312" w:hAnsi="仿宋" w:eastAsia="仿宋_GB2312" w:cs="宋体"/>
          <w:color w:val="000000"/>
          <w:kern w:val="0"/>
          <w:sz w:val="32"/>
          <w:szCs w:val="32"/>
        </w:rPr>
        <w:t>负责人</w:t>
      </w:r>
      <w:r>
        <w:rPr>
          <w:rFonts w:ascii="仿宋_GB2312" w:hAnsi="仿宋" w:eastAsia="仿宋_GB2312" w:cs="宋体"/>
          <w:color w:val="000000"/>
          <w:kern w:val="0"/>
          <w:sz w:val="32"/>
          <w:szCs w:val="32"/>
        </w:rPr>
        <w:t>能够主持该项目</w:t>
      </w:r>
      <w:r>
        <w:rPr>
          <w:rFonts w:hint="eastAsia" w:ascii="仿宋_GB2312" w:hAnsi="仿宋" w:eastAsia="仿宋_GB2312" w:cs="宋体"/>
          <w:color w:val="000000"/>
          <w:kern w:val="0"/>
          <w:sz w:val="32"/>
          <w:szCs w:val="32"/>
        </w:rPr>
        <w:t>建设直</w:t>
      </w:r>
      <w:r>
        <w:rPr>
          <w:rFonts w:ascii="仿宋_GB2312" w:hAnsi="仿宋" w:eastAsia="仿宋_GB2312" w:cs="宋体"/>
          <w:color w:val="000000"/>
          <w:kern w:val="0"/>
          <w:sz w:val="32"/>
          <w:szCs w:val="32"/>
        </w:rPr>
        <w:t>至省级验收</w:t>
      </w:r>
      <w:r>
        <w:rPr>
          <w:rFonts w:hint="eastAsia" w:ascii="仿宋_GB2312" w:hAnsi="仿宋" w:eastAsia="仿宋_GB2312" w:cs="宋体"/>
          <w:color w:val="000000"/>
          <w:kern w:val="0"/>
          <w:sz w:val="32"/>
          <w:szCs w:val="32"/>
        </w:rPr>
        <w:t>通过。此前</w:t>
      </w:r>
      <w:r>
        <w:rPr>
          <w:rFonts w:ascii="仿宋_GB2312" w:hAnsi="仿宋" w:eastAsia="仿宋_GB2312" w:cs="宋体"/>
          <w:color w:val="000000"/>
          <w:kern w:val="0"/>
          <w:sz w:val="32"/>
          <w:szCs w:val="32"/>
        </w:rPr>
        <w:t>已申报立项的</w:t>
      </w:r>
      <w:r>
        <w:rPr>
          <w:rFonts w:hint="eastAsia" w:ascii="仿宋_GB2312" w:hAnsi="仿宋" w:eastAsia="仿宋_GB2312" w:cs="宋体"/>
          <w:color w:val="000000"/>
          <w:kern w:val="0"/>
          <w:sz w:val="32"/>
          <w:szCs w:val="32"/>
        </w:rPr>
        <w:t>省</w:t>
      </w:r>
      <w:r>
        <w:rPr>
          <w:rFonts w:ascii="仿宋_GB2312" w:hAnsi="仿宋" w:eastAsia="仿宋_GB2312" w:cs="宋体"/>
          <w:color w:val="000000"/>
          <w:kern w:val="0"/>
          <w:sz w:val="32"/>
          <w:szCs w:val="32"/>
        </w:rPr>
        <w:t>重点专业</w:t>
      </w:r>
      <w:r>
        <w:rPr>
          <w:rFonts w:hint="eastAsia" w:ascii="仿宋_GB2312" w:hAnsi="仿宋" w:eastAsia="仿宋_GB2312" w:cs="宋体"/>
          <w:color w:val="000000"/>
          <w:kern w:val="0"/>
          <w:sz w:val="32"/>
          <w:szCs w:val="32"/>
        </w:rPr>
        <w:t>本年度</w:t>
      </w:r>
      <w:r>
        <w:rPr>
          <w:rFonts w:ascii="仿宋_GB2312" w:hAnsi="仿宋" w:eastAsia="仿宋_GB2312" w:cs="宋体"/>
          <w:color w:val="000000"/>
          <w:kern w:val="0"/>
          <w:sz w:val="32"/>
          <w:szCs w:val="32"/>
        </w:rPr>
        <w:t>不</w:t>
      </w:r>
      <w:r>
        <w:rPr>
          <w:rFonts w:hint="eastAsia" w:ascii="仿宋_GB2312" w:hAnsi="仿宋" w:eastAsia="仿宋_GB2312" w:cs="宋体"/>
          <w:color w:val="000000"/>
          <w:kern w:val="0"/>
          <w:sz w:val="32"/>
          <w:szCs w:val="32"/>
        </w:rPr>
        <w:t>再</w:t>
      </w:r>
      <w:r>
        <w:rPr>
          <w:rFonts w:ascii="仿宋_GB2312" w:hAnsi="仿宋" w:eastAsia="仿宋_GB2312" w:cs="宋体"/>
          <w:color w:val="000000"/>
          <w:kern w:val="0"/>
          <w:sz w:val="32"/>
          <w:szCs w:val="32"/>
        </w:rPr>
        <w:t>接受申报</w:t>
      </w:r>
      <w:r>
        <w:rPr>
          <w:rFonts w:hint="eastAsia" w:ascii="仿宋_GB2312" w:hAnsi="仿宋" w:eastAsia="仿宋_GB2312" w:cs="宋体"/>
          <w:color w:val="000000"/>
          <w:kern w:val="0"/>
          <w:sz w:val="32"/>
          <w:szCs w:val="32"/>
        </w:rPr>
        <w:t>，</w:t>
      </w:r>
      <w:r>
        <w:rPr>
          <w:rFonts w:ascii="仿宋_GB2312" w:hAnsi="仿宋" w:eastAsia="仿宋_GB2312" w:cs="宋体"/>
          <w:color w:val="000000"/>
          <w:kern w:val="0"/>
          <w:sz w:val="32"/>
          <w:szCs w:val="32"/>
        </w:rPr>
        <w:t>通过国际国内</w:t>
      </w:r>
      <w:r>
        <w:rPr>
          <w:rFonts w:hint="eastAsia" w:ascii="仿宋_GB2312" w:hAnsi="仿宋" w:eastAsia="仿宋_GB2312" w:cs="宋体"/>
          <w:color w:val="000000"/>
          <w:kern w:val="0"/>
          <w:sz w:val="32"/>
          <w:szCs w:val="32"/>
        </w:rPr>
        <w:t>第三方</w:t>
      </w:r>
      <w:r>
        <w:rPr>
          <w:rFonts w:ascii="仿宋_GB2312" w:hAnsi="仿宋" w:eastAsia="仿宋_GB2312" w:cs="宋体"/>
          <w:color w:val="000000"/>
          <w:kern w:val="0"/>
          <w:sz w:val="32"/>
          <w:szCs w:val="32"/>
        </w:rPr>
        <w:t>权威机构</w:t>
      </w:r>
      <w:r>
        <w:rPr>
          <w:rFonts w:hint="eastAsia" w:ascii="仿宋_GB2312" w:hAnsi="仿宋" w:eastAsia="仿宋_GB2312" w:cs="宋体"/>
          <w:color w:val="000000"/>
          <w:kern w:val="0"/>
          <w:sz w:val="32"/>
          <w:szCs w:val="32"/>
        </w:rPr>
        <w:t>认证</w:t>
      </w:r>
      <w:r>
        <w:rPr>
          <w:rFonts w:ascii="仿宋_GB2312" w:hAnsi="仿宋" w:eastAsia="仿宋_GB2312" w:cs="宋体"/>
          <w:color w:val="000000"/>
          <w:kern w:val="0"/>
          <w:sz w:val="32"/>
          <w:szCs w:val="32"/>
        </w:rPr>
        <w:t>的专业优先予以支持。</w:t>
      </w:r>
    </w:p>
    <w:p>
      <w:pPr>
        <w:autoSpaceDE w:val="0"/>
        <w:autoSpaceDN w:val="0"/>
        <w:adjustRightInd w:val="0"/>
        <w:ind w:firstLine="640"/>
        <w:rPr>
          <w:rFonts w:ascii="仿宋_GB2312" w:hAnsi="仿宋" w:eastAsia="仿宋_GB2312" w:cs="宋体"/>
          <w:color w:val="000000"/>
          <w:kern w:val="0"/>
          <w:sz w:val="32"/>
          <w:szCs w:val="32"/>
        </w:rPr>
      </w:pPr>
      <w:r>
        <w:rPr>
          <w:rFonts w:ascii="仿宋_GB2312" w:hAnsi="仿宋" w:eastAsia="仿宋_GB2312" w:cs="宋体"/>
          <w:color w:val="000000"/>
          <w:kern w:val="0"/>
          <w:sz w:val="32"/>
          <w:szCs w:val="32"/>
        </w:rPr>
        <w:t>10</w:t>
      </w:r>
      <w:r>
        <w:rPr>
          <w:rFonts w:hint="eastAsia" w:ascii="仿宋_GB2312" w:hAnsi="仿宋" w:eastAsia="仿宋_GB2312" w:cs="宋体"/>
          <w:color w:val="000000"/>
          <w:kern w:val="0"/>
          <w:sz w:val="32"/>
          <w:szCs w:val="32"/>
        </w:rPr>
        <w:t>.特色</w:t>
      </w:r>
      <w:r>
        <w:rPr>
          <w:rFonts w:ascii="仿宋_GB2312" w:hAnsi="仿宋" w:eastAsia="仿宋_GB2312" w:cs="宋体"/>
          <w:color w:val="000000"/>
          <w:kern w:val="0"/>
          <w:sz w:val="32"/>
          <w:szCs w:val="32"/>
        </w:rPr>
        <w:t>专业。</w:t>
      </w:r>
      <w:r>
        <w:rPr>
          <w:rFonts w:hint="eastAsia" w:ascii="仿宋_GB2312" w:hAnsi="仿宋" w:eastAsia="仿宋_GB2312" w:cs="宋体"/>
          <w:color w:val="000000"/>
          <w:kern w:val="0"/>
          <w:sz w:val="32"/>
          <w:szCs w:val="32"/>
        </w:rPr>
        <w:t>201</w:t>
      </w:r>
      <w:r>
        <w:rPr>
          <w:rFonts w:ascii="仿宋_GB2312" w:hAnsi="仿宋" w:eastAsia="仿宋_GB2312" w:cs="宋体"/>
          <w:color w:val="000000"/>
          <w:kern w:val="0"/>
          <w:sz w:val="32"/>
          <w:szCs w:val="32"/>
        </w:rPr>
        <w:t>8</w:t>
      </w:r>
      <w:r>
        <w:rPr>
          <w:rFonts w:hint="eastAsia" w:ascii="仿宋_GB2312" w:hAnsi="仿宋" w:eastAsia="仿宋_GB2312" w:cs="宋体"/>
          <w:color w:val="000000"/>
          <w:kern w:val="0"/>
          <w:sz w:val="32"/>
          <w:szCs w:val="32"/>
        </w:rPr>
        <w:t>年</w:t>
      </w:r>
      <w:r>
        <w:rPr>
          <w:rFonts w:ascii="仿宋_GB2312" w:hAnsi="仿宋" w:eastAsia="仿宋_GB2312" w:cs="宋体"/>
          <w:color w:val="000000"/>
          <w:kern w:val="0"/>
          <w:sz w:val="32"/>
          <w:szCs w:val="32"/>
        </w:rPr>
        <w:t>，</w:t>
      </w:r>
      <w:r>
        <w:rPr>
          <w:rFonts w:hint="eastAsia" w:ascii="仿宋_GB2312" w:hAnsi="仿宋" w:eastAsia="仿宋_GB2312" w:cs="宋体"/>
          <w:color w:val="000000"/>
          <w:kern w:val="0"/>
          <w:sz w:val="32"/>
          <w:szCs w:val="32"/>
        </w:rPr>
        <w:t>计划</w:t>
      </w:r>
      <w:r>
        <w:rPr>
          <w:rFonts w:ascii="仿宋_GB2312" w:hAnsi="仿宋" w:eastAsia="仿宋_GB2312" w:cs="宋体"/>
          <w:color w:val="000000"/>
          <w:kern w:val="0"/>
          <w:sz w:val="32"/>
          <w:szCs w:val="32"/>
        </w:rPr>
        <w:t>新</w:t>
      </w:r>
      <w:r>
        <w:rPr>
          <w:rFonts w:hint="eastAsia" w:ascii="仿宋_GB2312" w:hAnsi="仿宋" w:eastAsia="仿宋_GB2312" w:cs="宋体"/>
          <w:color w:val="000000"/>
          <w:kern w:val="0"/>
          <w:sz w:val="32"/>
          <w:szCs w:val="32"/>
        </w:rPr>
        <w:t>立项</w:t>
      </w:r>
      <w:r>
        <w:rPr>
          <w:rFonts w:ascii="仿宋_GB2312" w:hAnsi="仿宋" w:eastAsia="仿宋_GB2312" w:cs="宋体"/>
          <w:color w:val="000000"/>
          <w:kern w:val="0"/>
          <w:sz w:val="32"/>
          <w:szCs w:val="32"/>
        </w:rPr>
        <w:t>建设25</w:t>
      </w:r>
      <w:r>
        <w:rPr>
          <w:rFonts w:hint="eastAsia" w:ascii="仿宋_GB2312" w:hAnsi="仿宋" w:eastAsia="仿宋_GB2312" w:cs="宋体"/>
          <w:color w:val="000000"/>
          <w:kern w:val="0"/>
          <w:sz w:val="32"/>
          <w:szCs w:val="32"/>
        </w:rPr>
        <w:t>个</w:t>
      </w:r>
      <w:r>
        <w:rPr>
          <w:rFonts w:ascii="仿宋_GB2312" w:hAnsi="仿宋" w:eastAsia="仿宋_GB2312" w:cs="宋体"/>
          <w:color w:val="000000"/>
          <w:kern w:val="0"/>
          <w:sz w:val="32"/>
          <w:szCs w:val="32"/>
        </w:rPr>
        <w:t>左右的省级特色专业建设项目。</w:t>
      </w:r>
      <w:r>
        <w:rPr>
          <w:rFonts w:hint="eastAsia" w:ascii="仿宋_GB2312" w:hAnsi="仿宋" w:eastAsia="仿宋_GB2312" w:cs="宋体"/>
          <w:color w:val="000000"/>
          <w:kern w:val="0"/>
          <w:sz w:val="32"/>
          <w:szCs w:val="32"/>
        </w:rPr>
        <w:t>着力</w:t>
      </w:r>
      <w:r>
        <w:rPr>
          <w:rFonts w:ascii="仿宋_GB2312" w:hAnsi="仿宋" w:eastAsia="仿宋_GB2312" w:cs="宋体"/>
          <w:color w:val="000000"/>
          <w:kern w:val="0"/>
          <w:sz w:val="32"/>
          <w:szCs w:val="32"/>
        </w:rPr>
        <w:t>瞄准应用型人才培养需求，凝练高校办学传统</w:t>
      </w:r>
      <w:r>
        <w:rPr>
          <w:rFonts w:hint="eastAsia" w:ascii="仿宋_GB2312" w:hAnsi="仿宋" w:eastAsia="仿宋_GB2312" w:cs="宋体"/>
          <w:color w:val="000000"/>
          <w:kern w:val="0"/>
          <w:sz w:val="32"/>
          <w:szCs w:val="32"/>
        </w:rPr>
        <w:t>和</w:t>
      </w:r>
      <w:r>
        <w:rPr>
          <w:rFonts w:ascii="仿宋_GB2312" w:hAnsi="仿宋" w:eastAsia="仿宋_GB2312" w:cs="宋体"/>
          <w:color w:val="000000"/>
          <w:kern w:val="0"/>
          <w:sz w:val="32"/>
          <w:szCs w:val="32"/>
        </w:rPr>
        <w:t>特色，打造一批</w:t>
      </w:r>
      <w:r>
        <w:rPr>
          <w:rFonts w:hint="eastAsia" w:ascii="仿宋_GB2312" w:hAnsi="仿宋" w:eastAsia="仿宋_GB2312" w:cs="宋体"/>
          <w:color w:val="000000"/>
          <w:kern w:val="0"/>
          <w:sz w:val="32"/>
          <w:szCs w:val="32"/>
        </w:rPr>
        <w:t>包括传统</w:t>
      </w:r>
      <w:r>
        <w:rPr>
          <w:rFonts w:ascii="仿宋_GB2312" w:hAnsi="仿宋" w:eastAsia="仿宋_GB2312" w:cs="宋体"/>
          <w:color w:val="000000"/>
          <w:kern w:val="0"/>
          <w:sz w:val="32"/>
          <w:szCs w:val="32"/>
        </w:rPr>
        <w:t>南粤文化产业相关专业、</w:t>
      </w:r>
      <w:r>
        <w:rPr>
          <w:rFonts w:hint="eastAsia" w:ascii="仿宋_GB2312" w:hAnsi="仿宋" w:eastAsia="仿宋_GB2312" w:cs="宋体"/>
          <w:color w:val="000000"/>
          <w:kern w:val="0"/>
          <w:sz w:val="32"/>
          <w:szCs w:val="32"/>
        </w:rPr>
        <w:t>战略新兴产业相关专业、</w:t>
      </w:r>
      <w:r>
        <w:rPr>
          <w:rFonts w:ascii="仿宋_GB2312" w:hAnsi="仿宋" w:eastAsia="仿宋_GB2312" w:cs="宋体"/>
          <w:color w:val="000000"/>
          <w:kern w:val="0"/>
          <w:sz w:val="32"/>
          <w:szCs w:val="32"/>
        </w:rPr>
        <w:t>智能制造相关专业、</w:t>
      </w:r>
      <w:r>
        <w:rPr>
          <w:rFonts w:hint="eastAsia" w:ascii="仿宋_GB2312" w:hAnsi="仿宋" w:eastAsia="仿宋_GB2312" w:cs="宋体"/>
          <w:color w:val="000000"/>
          <w:kern w:val="0"/>
          <w:sz w:val="32"/>
          <w:szCs w:val="32"/>
        </w:rPr>
        <w:t>现代服务业</w:t>
      </w:r>
      <w:r>
        <w:rPr>
          <w:rFonts w:ascii="仿宋_GB2312" w:hAnsi="仿宋" w:eastAsia="仿宋_GB2312" w:cs="宋体"/>
          <w:color w:val="000000"/>
          <w:kern w:val="0"/>
          <w:sz w:val="32"/>
          <w:szCs w:val="32"/>
        </w:rPr>
        <w:t>相关专业及电子商务相关专业</w:t>
      </w:r>
      <w:r>
        <w:rPr>
          <w:rFonts w:hint="eastAsia" w:ascii="仿宋_GB2312" w:hAnsi="仿宋" w:eastAsia="仿宋_GB2312" w:cs="宋体"/>
          <w:color w:val="000000"/>
          <w:kern w:val="0"/>
          <w:sz w:val="32"/>
          <w:szCs w:val="32"/>
        </w:rPr>
        <w:t>在内</w:t>
      </w:r>
      <w:r>
        <w:rPr>
          <w:rFonts w:ascii="仿宋_GB2312" w:hAnsi="仿宋" w:eastAsia="仿宋_GB2312" w:cs="宋体"/>
          <w:color w:val="000000"/>
          <w:kern w:val="0"/>
          <w:sz w:val="32"/>
          <w:szCs w:val="32"/>
        </w:rPr>
        <w:t>的省级特色专业，进一步</w:t>
      </w:r>
      <w:r>
        <w:rPr>
          <w:rFonts w:hint="eastAsia" w:ascii="仿宋_GB2312" w:hAnsi="仿宋" w:eastAsia="仿宋_GB2312" w:cs="宋体"/>
          <w:color w:val="000000"/>
          <w:kern w:val="0"/>
          <w:sz w:val="32"/>
          <w:szCs w:val="32"/>
        </w:rPr>
        <w:t>推动</w:t>
      </w:r>
      <w:r>
        <w:rPr>
          <w:rFonts w:ascii="仿宋_GB2312" w:hAnsi="仿宋" w:eastAsia="仿宋_GB2312" w:cs="宋体"/>
          <w:color w:val="000000"/>
          <w:kern w:val="0"/>
          <w:sz w:val="32"/>
          <w:szCs w:val="32"/>
        </w:rPr>
        <w:t>高校人才培养与</w:t>
      </w:r>
      <w:r>
        <w:rPr>
          <w:rFonts w:hint="eastAsia" w:ascii="仿宋_GB2312" w:hAnsi="仿宋" w:eastAsia="仿宋_GB2312" w:cs="宋体"/>
          <w:color w:val="000000"/>
          <w:kern w:val="0"/>
          <w:sz w:val="32"/>
          <w:szCs w:val="32"/>
        </w:rPr>
        <w:t>区域产业发展相</w:t>
      </w:r>
      <w:r>
        <w:rPr>
          <w:rFonts w:ascii="仿宋_GB2312" w:hAnsi="仿宋" w:eastAsia="仿宋_GB2312" w:cs="宋体"/>
          <w:color w:val="000000"/>
          <w:kern w:val="0"/>
          <w:sz w:val="32"/>
          <w:szCs w:val="32"/>
        </w:rPr>
        <w:t>融合，</w:t>
      </w:r>
      <w:r>
        <w:rPr>
          <w:rFonts w:hint="eastAsia" w:ascii="仿宋_GB2312" w:hAnsi="仿宋" w:eastAsia="仿宋_GB2312" w:cs="宋体"/>
          <w:color w:val="000000"/>
          <w:kern w:val="0"/>
          <w:sz w:val="32"/>
          <w:szCs w:val="32"/>
        </w:rPr>
        <w:t>彰显</w:t>
      </w:r>
      <w:r>
        <w:rPr>
          <w:rFonts w:ascii="仿宋_GB2312" w:hAnsi="仿宋" w:eastAsia="仿宋_GB2312" w:cs="宋体"/>
          <w:color w:val="000000"/>
          <w:kern w:val="0"/>
          <w:sz w:val="32"/>
          <w:szCs w:val="32"/>
        </w:rPr>
        <w:t>高校办学特色和优势。</w:t>
      </w:r>
    </w:p>
    <w:p>
      <w:pPr>
        <w:autoSpaceDE w:val="0"/>
        <w:autoSpaceDN w:val="0"/>
        <w:adjustRightInd w:val="0"/>
        <w:ind w:firstLine="640"/>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省高等教育教学改革项目申报推荐工作另行通知。</w:t>
      </w:r>
    </w:p>
    <w:p/>
    <w:p/>
    <w:p>
      <w:pPr>
        <w:autoSpaceDE w:val="0"/>
        <w:autoSpaceDN w:val="0"/>
        <w:adjustRightInd w:val="0"/>
        <w:spacing w:line="560" w:lineRule="exact"/>
        <w:jc w:val="center"/>
        <w:rPr>
          <w:rFonts w:ascii="黑体" w:hAnsi="黑体" w:eastAsia="黑体"/>
          <w:kern w:val="0"/>
          <w:sz w:val="44"/>
          <w:szCs w:val="44"/>
          <w:lang w:val="zh-CN"/>
        </w:rPr>
      </w:pPr>
      <w:r>
        <w:rPr>
          <w:rFonts w:hint="eastAsia" w:ascii="黑体" w:hAnsi="黑体" w:eastAsia="黑体"/>
          <w:kern w:val="0"/>
          <w:sz w:val="44"/>
          <w:szCs w:val="44"/>
          <w:lang w:val="zh-CN"/>
        </w:rPr>
        <w:t>201</w:t>
      </w:r>
      <w:r>
        <w:rPr>
          <w:rFonts w:ascii="黑体" w:hAnsi="黑体" w:eastAsia="黑体"/>
          <w:kern w:val="0"/>
          <w:sz w:val="44"/>
          <w:szCs w:val="44"/>
          <w:lang w:val="zh-CN"/>
        </w:rPr>
        <w:t>8</w:t>
      </w:r>
      <w:r>
        <w:rPr>
          <w:rFonts w:hint="eastAsia" w:ascii="黑体" w:hAnsi="黑体" w:eastAsia="黑体"/>
          <w:kern w:val="0"/>
          <w:sz w:val="44"/>
          <w:szCs w:val="44"/>
          <w:lang w:val="zh-CN"/>
        </w:rPr>
        <w:t>年省综合类教学研究和改革项目</w:t>
      </w:r>
    </w:p>
    <w:p>
      <w:pPr>
        <w:autoSpaceDE w:val="0"/>
        <w:autoSpaceDN w:val="0"/>
        <w:adjustRightInd w:val="0"/>
        <w:spacing w:line="560" w:lineRule="exact"/>
        <w:jc w:val="center"/>
        <w:rPr>
          <w:rFonts w:ascii="黑体" w:hAnsi="黑体" w:eastAsia="黑体"/>
          <w:kern w:val="0"/>
          <w:sz w:val="44"/>
          <w:szCs w:val="44"/>
          <w:lang w:val="zh-CN"/>
        </w:rPr>
      </w:pPr>
      <w:r>
        <w:rPr>
          <w:rFonts w:hint="eastAsia" w:ascii="黑体" w:hAnsi="黑体" w:eastAsia="黑体"/>
          <w:kern w:val="0"/>
          <w:sz w:val="44"/>
          <w:szCs w:val="44"/>
          <w:lang w:val="zh-CN"/>
        </w:rPr>
        <w:t>重点领域简表</w:t>
      </w:r>
    </w:p>
    <w:tbl>
      <w:tblPr>
        <w:tblStyle w:val="4"/>
        <w:tblW w:w="9356"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
        <w:gridCol w:w="6379"/>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1" w:type="dxa"/>
            <w:noWrap w:val="0"/>
            <w:vAlign w:val="top"/>
          </w:tcPr>
          <w:p>
            <w:pPr>
              <w:autoSpaceDE w:val="0"/>
              <w:autoSpaceDN w:val="0"/>
              <w:adjustRightInd w:val="0"/>
              <w:spacing w:line="560" w:lineRule="exact"/>
              <w:jc w:val="center"/>
              <w:rPr>
                <w:rFonts w:ascii="黑体" w:hAnsi="黑体" w:eastAsia="黑体"/>
                <w:kern w:val="0"/>
                <w:sz w:val="28"/>
                <w:szCs w:val="28"/>
                <w:lang w:val="zh-CN"/>
              </w:rPr>
            </w:pPr>
            <w:r>
              <w:rPr>
                <w:rFonts w:ascii="黑体" w:hAnsi="黑体" w:eastAsia="黑体"/>
                <w:kern w:val="0"/>
                <w:sz w:val="28"/>
                <w:szCs w:val="28"/>
                <w:lang w:val="zh-CN"/>
              </w:rPr>
              <w:t>序号</w:t>
            </w:r>
          </w:p>
        </w:tc>
        <w:tc>
          <w:tcPr>
            <w:tcW w:w="6379" w:type="dxa"/>
            <w:noWrap w:val="0"/>
            <w:vAlign w:val="top"/>
          </w:tcPr>
          <w:p>
            <w:pPr>
              <w:autoSpaceDE w:val="0"/>
              <w:autoSpaceDN w:val="0"/>
              <w:adjustRightInd w:val="0"/>
              <w:spacing w:line="560" w:lineRule="exact"/>
              <w:jc w:val="center"/>
              <w:rPr>
                <w:rFonts w:ascii="黑体" w:hAnsi="黑体" w:eastAsia="黑体"/>
                <w:kern w:val="0"/>
                <w:sz w:val="28"/>
                <w:szCs w:val="28"/>
                <w:lang w:val="zh-CN"/>
              </w:rPr>
            </w:pPr>
            <w:r>
              <w:rPr>
                <w:rFonts w:ascii="黑体" w:hAnsi="黑体" w:eastAsia="黑体"/>
                <w:kern w:val="0"/>
                <w:sz w:val="28"/>
                <w:szCs w:val="28"/>
                <w:lang w:val="zh-CN"/>
              </w:rPr>
              <w:t>重点领域</w:t>
            </w:r>
          </w:p>
        </w:tc>
        <w:tc>
          <w:tcPr>
            <w:tcW w:w="1956" w:type="dxa"/>
            <w:noWrap w:val="0"/>
            <w:vAlign w:val="top"/>
          </w:tcPr>
          <w:p>
            <w:pPr>
              <w:autoSpaceDE w:val="0"/>
              <w:autoSpaceDN w:val="0"/>
              <w:adjustRightInd w:val="0"/>
              <w:spacing w:line="560" w:lineRule="exact"/>
              <w:jc w:val="center"/>
              <w:rPr>
                <w:rFonts w:ascii="黑体" w:hAnsi="黑体" w:eastAsia="黑体"/>
                <w:kern w:val="0"/>
                <w:sz w:val="28"/>
                <w:szCs w:val="28"/>
                <w:lang w:val="zh-CN"/>
              </w:rPr>
            </w:pPr>
            <w:r>
              <w:rPr>
                <w:rFonts w:ascii="黑体" w:hAnsi="黑体" w:eastAsia="黑体"/>
                <w:kern w:val="0"/>
                <w:sz w:val="28"/>
                <w:szCs w:val="28"/>
                <w:lang w:val="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trPr>
        <w:tc>
          <w:tcPr>
            <w:tcW w:w="1021" w:type="dxa"/>
            <w:noWrap w:val="0"/>
            <w:vAlign w:val="center"/>
          </w:tcPr>
          <w:p>
            <w:pPr>
              <w:autoSpaceDE w:val="0"/>
              <w:autoSpaceDN w:val="0"/>
              <w:adjustRightInd w:val="0"/>
              <w:spacing w:line="560" w:lineRule="exact"/>
              <w:jc w:val="center"/>
              <w:rPr>
                <w:rFonts w:ascii="仿宋_GB2312" w:eastAsia="仿宋_GB2312"/>
                <w:color w:val="000000"/>
                <w:kern w:val="0"/>
                <w:sz w:val="24"/>
                <w:szCs w:val="30"/>
              </w:rPr>
            </w:pPr>
            <w:r>
              <w:rPr>
                <w:rFonts w:ascii="仿宋_GB2312" w:eastAsia="仿宋_GB2312"/>
                <w:color w:val="000000"/>
                <w:kern w:val="0"/>
                <w:sz w:val="24"/>
                <w:szCs w:val="30"/>
              </w:rPr>
              <w:t>1</w:t>
            </w:r>
          </w:p>
        </w:tc>
        <w:tc>
          <w:tcPr>
            <w:tcW w:w="6379" w:type="dxa"/>
            <w:noWrap w:val="0"/>
            <w:vAlign w:val="top"/>
          </w:tcPr>
          <w:p>
            <w:pPr>
              <w:autoSpaceDE w:val="0"/>
              <w:autoSpaceDN w:val="0"/>
              <w:adjustRightInd w:val="0"/>
              <w:spacing w:line="560" w:lineRule="exact"/>
              <w:jc w:val="left"/>
              <w:rPr>
                <w:rFonts w:ascii="仿宋_GB2312" w:eastAsia="仿宋_GB2312"/>
                <w:color w:val="000000"/>
                <w:kern w:val="0"/>
                <w:sz w:val="24"/>
                <w:szCs w:val="30"/>
              </w:rPr>
            </w:pPr>
            <w:r>
              <w:rPr>
                <w:rFonts w:hint="eastAsia" w:ascii="仿宋_GB2312" w:eastAsia="仿宋_GB2312"/>
                <w:color w:val="000000"/>
                <w:kern w:val="0"/>
                <w:sz w:val="24"/>
                <w:szCs w:val="30"/>
              </w:rPr>
              <w:t>本科人才培养激励机制构建</w:t>
            </w:r>
          </w:p>
        </w:tc>
        <w:tc>
          <w:tcPr>
            <w:tcW w:w="1956" w:type="dxa"/>
            <w:noWrap w:val="0"/>
            <w:vAlign w:val="top"/>
          </w:tcPr>
          <w:p>
            <w:pPr>
              <w:autoSpaceDE w:val="0"/>
              <w:autoSpaceDN w:val="0"/>
              <w:adjustRightInd w:val="0"/>
              <w:spacing w:line="560" w:lineRule="exact"/>
              <w:jc w:val="center"/>
              <w:rPr>
                <w:rFonts w:ascii="黑体" w:hAnsi="黑体" w:eastAsia="黑体"/>
                <w:kern w:val="0"/>
                <w:sz w:val="28"/>
                <w:szCs w:val="28"/>
                <w:lang w:val="zh-CN"/>
              </w:rPr>
            </w:pPr>
            <w:r>
              <w:rPr>
                <w:rFonts w:hint="eastAsia" w:ascii="Times New Roman" w:hAnsi="Times New Roman" w:eastAsia="仿宋_GB2312"/>
                <w:kern w:val="0"/>
                <w:szCs w:val="21"/>
                <w:lang w:val="zh-CN"/>
              </w:rPr>
              <w:t>同等条件</w:t>
            </w:r>
            <w:r>
              <w:rPr>
                <w:rFonts w:ascii="Times New Roman" w:hAnsi="Times New Roman" w:eastAsia="仿宋_GB2312"/>
                <w:kern w:val="0"/>
                <w:szCs w:val="21"/>
                <w:lang w:val="zh-CN"/>
              </w:rPr>
              <w:t>优先支持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1021" w:type="dxa"/>
            <w:noWrap w:val="0"/>
            <w:vAlign w:val="center"/>
          </w:tcPr>
          <w:p>
            <w:pPr>
              <w:autoSpaceDE w:val="0"/>
              <w:autoSpaceDN w:val="0"/>
              <w:adjustRightInd w:val="0"/>
              <w:spacing w:line="560" w:lineRule="exact"/>
              <w:jc w:val="center"/>
              <w:rPr>
                <w:rFonts w:ascii="Times New Roman" w:hAnsi="Times New Roman" w:eastAsia="仿宋_GB2312"/>
                <w:kern w:val="0"/>
                <w:sz w:val="24"/>
                <w:szCs w:val="28"/>
                <w:lang w:val="zh-CN"/>
              </w:rPr>
            </w:pPr>
            <w:r>
              <w:rPr>
                <w:rFonts w:hint="eastAsia" w:ascii="Times New Roman" w:hAnsi="Times New Roman" w:eastAsia="仿宋_GB2312"/>
                <w:kern w:val="0"/>
                <w:sz w:val="24"/>
                <w:szCs w:val="28"/>
                <w:lang w:val="zh-CN"/>
              </w:rPr>
              <w:t>2</w:t>
            </w:r>
          </w:p>
        </w:tc>
        <w:tc>
          <w:tcPr>
            <w:tcW w:w="6379" w:type="dxa"/>
            <w:noWrap w:val="0"/>
            <w:vAlign w:val="center"/>
          </w:tcPr>
          <w:p>
            <w:pPr>
              <w:jc w:val="left"/>
              <w:rPr>
                <w:rFonts w:ascii="仿宋_GB2312" w:eastAsia="仿宋_GB2312"/>
                <w:color w:val="000000"/>
                <w:kern w:val="0"/>
                <w:sz w:val="24"/>
                <w:szCs w:val="30"/>
              </w:rPr>
            </w:pPr>
            <w:r>
              <w:rPr>
                <w:rFonts w:hint="eastAsia" w:ascii="仿宋_GB2312" w:eastAsia="仿宋_GB2312"/>
                <w:color w:val="000000"/>
                <w:kern w:val="0"/>
                <w:sz w:val="24"/>
                <w:szCs w:val="30"/>
              </w:rPr>
              <w:t>以</w:t>
            </w:r>
            <w:r>
              <w:rPr>
                <w:rFonts w:ascii="仿宋_GB2312" w:eastAsia="仿宋_GB2312"/>
                <w:color w:val="000000"/>
                <w:kern w:val="0"/>
                <w:sz w:val="24"/>
                <w:szCs w:val="30"/>
              </w:rPr>
              <w:t>专业</w:t>
            </w:r>
            <w:r>
              <w:rPr>
                <w:rFonts w:hint="eastAsia" w:ascii="仿宋_GB2312" w:eastAsia="仿宋_GB2312"/>
                <w:color w:val="000000"/>
                <w:kern w:val="0"/>
                <w:sz w:val="24"/>
                <w:szCs w:val="30"/>
              </w:rPr>
              <w:t>评估与专业认证为抓手推动专业内涵建设和发展</w:t>
            </w:r>
          </w:p>
        </w:tc>
        <w:tc>
          <w:tcPr>
            <w:tcW w:w="1956" w:type="dxa"/>
            <w:noWrap w:val="0"/>
            <w:vAlign w:val="top"/>
          </w:tcPr>
          <w:p>
            <w:pPr>
              <w:autoSpaceDE w:val="0"/>
              <w:autoSpaceDN w:val="0"/>
              <w:adjustRightInd w:val="0"/>
              <w:spacing w:line="480" w:lineRule="exact"/>
              <w:rPr>
                <w:rFonts w:ascii="Times New Roman" w:hAnsi="Times New Roman" w:eastAsia="仿宋_GB2312"/>
                <w:kern w:val="0"/>
                <w:szCs w:val="21"/>
                <w:lang w:val="zh-CN"/>
              </w:rPr>
            </w:pPr>
            <w:r>
              <w:rPr>
                <w:rFonts w:hint="eastAsia" w:ascii="Times New Roman" w:hAnsi="Times New Roman" w:eastAsia="仿宋_GB2312"/>
                <w:kern w:val="0"/>
                <w:szCs w:val="21"/>
                <w:lang w:val="zh-CN"/>
              </w:rPr>
              <w:t>同等条件</w:t>
            </w:r>
            <w:r>
              <w:rPr>
                <w:rFonts w:ascii="Times New Roman" w:hAnsi="Times New Roman" w:eastAsia="仿宋_GB2312"/>
                <w:kern w:val="0"/>
                <w:szCs w:val="21"/>
                <w:lang w:val="zh-CN"/>
              </w:rPr>
              <w:t>优先支持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trPr>
        <w:tc>
          <w:tcPr>
            <w:tcW w:w="1021" w:type="dxa"/>
            <w:noWrap w:val="0"/>
            <w:vAlign w:val="center"/>
          </w:tcPr>
          <w:p>
            <w:pPr>
              <w:autoSpaceDE w:val="0"/>
              <w:autoSpaceDN w:val="0"/>
              <w:adjustRightInd w:val="0"/>
              <w:spacing w:line="560" w:lineRule="exact"/>
              <w:jc w:val="center"/>
              <w:rPr>
                <w:rFonts w:ascii="Times New Roman" w:hAnsi="Times New Roman" w:eastAsia="仿宋_GB2312"/>
                <w:kern w:val="0"/>
                <w:sz w:val="24"/>
                <w:szCs w:val="28"/>
                <w:lang w:val="zh-CN"/>
              </w:rPr>
            </w:pPr>
            <w:r>
              <w:rPr>
                <w:rFonts w:hint="eastAsia" w:ascii="Times New Roman" w:hAnsi="Times New Roman" w:eastAsia="仿宋_GB2312"/>
                <w:kern w:val="0"/>
                <w:sz w:val="24"/>
                <w:szCs w:val="28"/>
                <w:lang w:val="zh-CN"/>
              </w:rPr>
              <w:t>3</w:t>
            </w:r>
          </w:p>
        </w:tc>
        <w:tc>
          <w:tcPr>
            <w:tcW w:w="6379" w:type="dxa"/>
            <w:noWrap w:val="0"/>
            <w:vAlign w:val="center"/>
          </w:tcPr>
          <w:p>
            <w:pPr>
              <w:jc w:val="left"/>
              <w:rPr>
                <w:rFonts w:ascii="仿宋_GB2312" w:eastAsia="仿宋_GB2312"/>
                <w:color w:val="000000"/>
                <w:kern w:val="0"/>
                <w:sz w:val="24"/>
                <w:szCs w:val="30"/>
              </w:rPr>
            </w:pPr>
            <w:r>
              <w:rPr>
                <w:rFonts w:hint="eastAsia" w:ascii="仿宋_GB2312" w:eastAsia="仿宋_GB2312"/>
                <w:color w:val="000000"/>
                <w:kern w:val="0"/>
                <w:sz w:val="24"/>
                <w:szCs w:val="30"/>
              </w:rPr>
              <w:t>新工科和产业学院建设的探索和实践</w:t>
            </w:r>
          </w:p>
        </w:tc>
        <w:tc>
          <w:tcPr>
            <w:tcW w:w="1956" w:type="dxa"/>
            <w:noWrap w:val="0"/>
            <w:vAlign w:val="top"/>
          </w:tcPr>
          <w:p>
            <w:pPr>
              <w:autoSpaceDE w:val="0"/>
              <w:autoSpaceDN w:val="0"/>
              <w:adjustRightInd w:val="0"/>
              <w:spacing w:line="480" w:lineRule="exact"/>
              <w:rPr>
                <w:rFonts w:ascii="Times New Roman" w:hAnsi="Times New Roman" w:eastAsia="仿宋_GB2312"/>
                <w:kern w:val="0"/>
                <w:szCs w:val="21"/>
                <w:lang w:val="zh-CN"/>
              </w:rPr>
            </w:pPr>
            <w:r>
              <w:rPr>
                <w:rFonts w:hint="eastAsia" w:ascii="Times New Roman" w:hAnsi="Times New Roman" w:eastAsia="仿宋_GB2312"/>
                <w:kern w:val="0"/>
                <w:szCs w:val="21"/>
                <w:lang w:val="zh-CN"/>
              </w:rPr>
              <w:t>同等条件</w:t>
            </w:r>
            <w:r>
              <w:rPr>
                <w:rFonts w:ascii="Times New Roman" w:hAnsi="Times New Roman" w:eastAsia="仿宋_GB2312"/>
                <w:kern w:val="0"/>
                <w:szCs w:val="21"/>
                <w:lang w:val="zh-CN"/>
              </w:rPr>
              <w:t>优先支持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trPr>
        <w:tc>
          <w:tcPr>
            <w:tcW w:w="1021" w:type="dxa"/>
            <w:noWrap w:val="0"/>
            <w:vAlign w:val="center"/>
          </w:tcPr>
          <w:p>
            <w:pPr>
              <w:autoSpaceDE w:val="0"/>
              <w:autoSpaceDN w:val="0"/>
              <w:adjustRightInd w:val="0"/>
              <w:spacing w:line="560" w:lineRule="exact"/>
              <w:jc w:val="center"/>
              <w:rPr>
                <w:rFonts w:ascii="Times New Roman" w:hAnsi="Times New Roman" w:eastAsia="仿宋_GB2312"/>
                <w:kern w:val="0"/>
                <w:sz w:val="24"/>
                <w:szCs w:val="28"/>
                <w:lang w:val="zh-CN"/>
              </w:rPr>
            </w:pPr>
            <w:r>
              <w:rPr>
                <w:rFonts w:hint="eastAsia" w:ascii="Times New Roman" w:hAnsi="Times New Roman" w:eastAsia="仿宋_GB2312"/>
                <w:kern w:val="0"/>
                <w:sz w:val="24"/>
                <w:szCs w:val="28"/>
                <w:lang w:val="zh-CN"/>
              </w:rPr>
              <w:t>4</w:t>
            </w:r>
          </w:p>
        </w:tc>
        <w:tc>
          <w:tcPr>
            <w:tcW w:w="6379" w:type="dxa"/>
            <w:noWrap w:val="0"/>
            <w:vAlign w:val="center"/>
          </w:tcPr>
          <w:p>
            <w:pPr>
              <w:jc w:val="left"/>
              <w:rPr>
                <w:rFonts w:ascii="仿宋_GB2312" w:eastAsia="仿宋_GB2312"/>
                <w:color w:val="000000"/>
                <w:kern w:val="0"/>
                <w:sz w:val="24"/>
                <w:szCs w:val="30"/>
              </w:rPr>
            </w:pPr>
            <w:r>
              <w:rPr>
                <w:rFonts w:hint="eastAsia" w:ascii="仿宋_GB2312" w:eastAsia="仿宋_GB2312"/>
                <w:color w:val="000000"/>
                <w:kern w:val="0"/>
                <w:sz w:val="24"/>
                <w:szCs w:val="30"/>
              </w:rPr>
              <w:t>高校应用型转型的研究与实践</w:t>
            </w:r>
          </w:p>
        </w:tc>
        <w:tc>
          <w:tcPr>
            <w:tcW w:w="1956" w:type="dxa"/>
            <w:noWrap w:val="0"/>
            <w:vAlign w:val="top"/>
          </w:tcPr>
          <w:p>
            <w:pPr>
              <w:autoSpaceDE w:val="0"/>
              <w:autoSpaceDN w:val="0"/>
              <w:adjustRightInd w:val="0"/>
              <w:spacing w:line="480" w:lineRule="exact"/>
              <w:rPr>
                <w:rFonts w:ascii="Times New Roman" w:hAnsi="Times New Roman" w:eastAsia="仿宋_GB2312"/>
                <w:kern w:val="0"/>
                <w:szCs w:val="21"/>
                <w:lang w:val="zh-CN"/>
              </w:rPr>
            </w:pPr>
            <w:r>
              <w:rPr>
                <w:rFonts w:hint="eastAsia" w:ascii="Times New Roman" w:hAnsi="Times New Roman" w:eastAsia="仿宋_GB2312"/>
                <w:kern w:val="0"/>
                <w:szCs w:val="21"/>
                <w:lang w:val="zh-CN"/>
              </w:rPr>
              <w:t>同等条件</w:t>
            </w:r>
            <w:r>
              <w:rPr>
                <w:rFonts w:ascii="Times New Roman" w:hAnsi="Times New Roman" w:eastAsia="仿宋_GB2312"/>
                <w:kern w:val="0"/>
                <w:szCs w:val="21"/>
                <w:lang w:val="zh-CN"/>
              </w:rPr>
              <w:t>优先支持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1021" w:type="dxa"/>
            <w:noWrap w:val="0"/>
            <w:vAlign w:val="center"/>
          </w:tcPr>
          <w:p>
            <w:pPr>
              <w:autoSpaceDE w:val="0"/>
              <w:autoSpaceDN w:val="0"/>
              <w:adjustRightInd w:val="0"/>
              <w:spacing w:line="560" w:lineRule="exact"/>
              <w:jc w:val="center"/>
              <w:rPr>
                <w:rFonts w:ascii="Times New Roman" w:hAnsi="Times New Roman" w:eastAsia="仿宋_GB2312"/>
                <w:kern w:val="0"/>
                <w:sz w:val="24"/>
                <w:szCs w:val="28"/>
                <w:lang w:val="zh-CN"/>
              </w:rPr>
            </w:pPr>
            <w:r>
              <w:rPr>
                <w:rFonts w:hint="eastAsia" w:ascii="Times New Roman" w:hAnsi="Times New Roman" w:eastAsia="仿宋_GB2312"/>
                <w:kern w:val="0"/>
                <w:sz w:val="24"/>
                <w:szCs w:val="28"/>
                <w:lang w:val="zh-CN"/>
              </w:rPr>
              <w:t>5</w:t>
            </w:r>
          </w:p>
        </w:tc>
        <w:tc>
          <w:tcPr>
            <w:tcW w:w="6379" w:type="dxa"/>
            <w:noWrap w:val="0"/>
            <w:vAlign w:val="center"/>
          </w:tcPr>
          <w:p>
            <w:pPr>
              <w:jc w:val="left"/>
              <w:rPr>
                <w:rFonts w:ascii="仿宋_GB2312" w:eastAsia="仿宋_GB2312"/>
                <w:color w:val="000000"/>
                <w:kern w:val="0"/>
                <w:sz w:val="24"/>
                <w:szCs w:val="30"/>
              </w:rPr>
            </w:pPr>
            <w:r>
              <w:rPr>
                <w:rFonts w:hint="eastAsia" w:ascii="仿宋_GB2312" w:eastAsia="仿宋_GB2312"/>
                <w:color w:val="000000"/>
                <w:kern w:val="0"/>
                <w:sz w:val="24"/>
                <w:szCs w:val="30"/>
              </w:rPr>
              <w:t>基于创新能力培养的教学</w:t>
            </w:r>
            <w:r>
              <w:rPr>
                <w:rFonts w:ascii="仿宋_GB2312" w:eastAsia="仿宋_GB2312"/>
                <w:color w:val="000000"/>
                <w:kern w:val="0"/>
                <w:sz w:val="24"/>
                <w:szCs w:val="30"/>
              </w:rPr>
              <w:t>方式方法</w:t>
            </w:r>
            <w:r>
              <w:rPr>
                <w:rFonts w:hint="eastAsia" w:ascii="仿宋_GB2312" w:eastAsia="仿宋_GB2312"/>
                <w:color w:val="000000"/>
                <w:kern w:val="0"/>
                <w:sz w:val="24"/>
                <w:szCs w:val="30"/>
              </w:rPr>
              <w:t>改革研究与</w:t>
            </w:r>
            <w:r>
              <w:rPr>
                <w:rFonts w:ascii="仿宋_GB2312" w:eastAsia="仿宋_GB2312"/>
                <w:color w:val="000000"/>
                <w:kern w:val="0"/>
                <w:sz w:val="24"/>
                <w:szCs w:val="30"/>
              </w:rPr>
              <w:t>实践</w:t>
            </w:r>
          </w:p>
        </w:tc>
        <w:tc>
          <w:tcPr>
            <w:tcW w:w="1956" w:type="dxa"/>
            <w:noWrap w:val="0"/>
            <w:vAlign w:val="top"/>
          </w:tcPr>
          <w:p>
            <w:pPr>
              <w:autoSpaceDE w:val="0"/>
              <w:autoSpaceDN w:val="0"/>
              <w:adjustRightInd w:val="0"/>
              <w:spacing w:line="480" w:lineRule="exact"/>
              <w:rPr>
                <w:rFonts w:ascii="Times New Roman" w:hAnsi="Times New Roman" w:eastAsia="仿宋_GB2312"/>
                <w:kern w:val="0"/>
                <w:szCs w:val="21"/>
                <w:lang w:val="zh-CN"/>
              </w:rPr>
            </w:pPr>
            <w:r>
              <w:rPr>
                <w:rFonts w:hint="eastAsia" w:ascii="Times New Roman" w:hAnsi="Times New Roman" w:eastAsia="仿宋_GB2312"/>
                <w:kern w:val="0"/>
                <w:szCs w:val="21"/>
                <w:lang w:val="zh-CN"/>
              </w:rPr>
              <w:t>同等条件</w:t>
            </w:r>
            <w:r>
              <w:rPr>
                <w:rFonts w:ascii="Times New Roman" w:hAnsi="Times New Roman" w:eastAsia="仿宋_GB2312"/>
                <w:kern w:val="0"/>
                <w:szCs w:val="21"/>
                <w:lang w:val="zh-CN"/>
              </w:rPr>
              <w:t>优先支持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1021" w:type="dxa"/>
            <w:noWrap w:val="0"/>
            <w:vAlign w:val="center"/>
          </w:tcPr>
          <w:p>
            <w:pPr>
              <w:autoSpaceDE w:val="0"/>
              <w:autoSpaceDN w:val="0"/>
              <w:adjustRightInd w:val="0"/>
              <w:spacing w:line="560" w:lineRule="exact"/>
              <w:jc w:val="center"/>
              <w:rPr>
                <w:rFonts w:ascii="Times New Roman" w:hAnsi="Times New Roman" w:eastAsia="仿宋_GB2312"/>
                <w:kern w:val="0"/>
                <w:sz w:val="24"/>
                <w:szCs w:val="28"/>
                <w:lang w:val="zh-CN"/>
              </w:rPr>
            </w:pPr>
            <w:r>
              <w:rPr>
                <w:rFonts w:hint="eastAsia" w:ascii="Times New Roman" w:hAnsi="Times New Roman" w:eastAsia="仿宋_GB2312"/>
                <w:kern w:val="0"/>
                <w:sz w:val="24"/>
                <w:szCs w:val="28"/>
                <w:lang w:val="zh-CN"/>
              </w:rPr>
              <w:t>6</w:t>
            </w:r>
          </w:p>
        </w:tc>
        <w:tc>
          <w:tcPr>
            <w:tcW w:w="6379" w:type="dxa"/>
            <w:noWrap w:val="0"/>
            <w:vAlign w:val="center"/>
          </w:tcPr>
          <w:p>
            <w:pPr>
              <w:jc w:val="left"/>
              <w:rPr>
                <w:rFonts w:ascii="仿宋_GB2312" w:eastAsia="仿宋_GB2312"/>
                <w:color w:val="000000"/>
                <w:kern w:val="0"/>
                <w:sz w:val="24"/>
                <w:szCs w:val="30"/>
              </w:rPr>
            </w:pPr>
            <w:r>
              <w:rPr>
                <w:rFonts w:hint="eastAsia" w:ascii="仿宋_GB2312" w:eastAsia="仿宋_GB2312"/>
                <w:color w:val="000000"/>
                <w:kern w:val="0"/>
                <w:sz w:val="24"/>
                <w:szCs w:val="30"/>
              </w:rPr>
              <w:t>新师范建设的模式和路径</w:t>
            </w:r>
          </w:p>
        </w:tc>
        <w:tc>
          <w:tcPr>
            <w:tcW w:w="1956" w:type="dxa"/>
            <w:noWrap w:val="0"/>
            <w:vAlign w:val="top"/>
          </w:tcPr>
          <w:p>
            <w:pPr>
              <w:autoSpaceDE w:val="0"/>
              <w:autoSpaceDN w:val="0"/>
              <w:adjustRightInd w:val="0"/>
              <w:spacing w:line="480" w:lineRule="exact"/>
              <w:rPr>
                <w:rFonts w:ascii="Times New Roman" w:hAnsi="Times New Roman" w:eastAsia="仿宋_GB2312"/>
                <w:kern w:val="0"/>
                <w:szCs w:val="21"/>
                <w:lang w:val="zh-CN"/>
              </w:rPr>
            </w:pPr>
            <w:r>
              <w:rPr>
                <w:rFonts w:hint="eastAsia" w:ascii="Times New Roman" w:hAnsi="Times New Roman" w:eastAsia="仿宋_GB2312"/>
                <w:kern w:val="0"/>
                <w:szCs w:val="21"/>
                <w:lang w:val="zh-CN"/>
              </w:rPr>
              <w:t>同等条件优先支持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1" w:type="dxa"/>
            <w:noWrap w:val="0"/>
            <w:vAlign w:val="center"/>
          </w:tcPr>
          <w:p>
            <w:pPr>
              <w:autoSpaceDE w:val="0"/>
              <w:autoSpaceDN w:val="0"/>
              <w:adjustRightInd w:val="0"/>
              <w:spacing w:line="560" w:lineRule="exact"/>
              <w:jc w:val="center"/>
              <w:rPr>
                <w:rFonts w:ascii="Times New Roman" w:hAnsi="Times New Roman" w:eastAsia="仿宋_GB2312"/>
                <w:kern w:val="0"/>
                <w:sz w:val="24"/>
                <w:szCs w:val="28"/>
                <w:lang w:val="zh-CN"/>
              </w:rPr>
            </w:pPr>
            <w:r>
              <w:rPr>
                <w:rFonts w:hint="eastAsia" w:ascii="Times New Roman" w:hAnsi="Times New Roman" w:eastAsia="仿宋_GB2312"/>
                <w:kern w:val="0"/>
                <w:sz w:val="24"/>
                <w:szCs w:val="28"/>
                <w:lang w:val="zh-CN"/>
              </w:rPr>
              <w:t>7</w:t>
            </w:r>
          </w:p>
        </w:tc>
        <w:tc>
          <w:tcPr>
            <w:tcW w:w="6379" w:type="dxa"/>
            <w:noWrap w:val="0"/>
            <w:vAlign w:val="center"/>
          </w:tcPr>
          <w:p>
            <w:pPr>
              <w:jc w:val="left"/>
              <w:rPr>
                <w:rFonts w:ascii="仿宋_GB2312" w:hAnsi="宋体" w:eastAsia="仿宋_GB2312" w:cs="宋体"/>
                <w:color w:val="000000"/>
                <w:kern w:val="0"/>
                <w:sz w:val="24"/>
                <w:szCs w:val="30"/>
              </w:rPr>
            </w:pPr>
            <w:r>
              <w:rPr>
                <w:rFonts w:hint="eastAsia" w:ascii="仿宋_GB2312" w:hAnsi="宋体" w:eastAsia="仿宋_GB2312" w:cs="宋体"/>
                <w:color w:val="000000"/>
                <w:kern w:val="0"/>
                <w:sz w:val="24"/>
                <w:szCs w:val="30"/>
              </w:rPr>
              <w:t>在线开放课程建设和应用管理</w:t>
            </w:r>
          </w:p>
        </w:tc>
        <w:tc>
          <w:tcPr>
            <w:tcW w:w="1956" w:type="dxa"/>
            <w:noWrap w:val="0"/>
            <w:vAlign w:val="top"/>
          </w:tcPr>
          <w:p>
            <w:pPr>
              <w:autoSpaceDE w:val="0"/>
              <w:autoSpaceDN w:val="0"/>
              <w:adjustRightInd w:val="0"/>
              <w:spacing w:line="560" w:lineRule="exact"/>
              <w:rPr>
                <w:rFonts w:ascii="Times New Roman" w:hAnsi="Times New Roman" w:eastAsia="仿宋_GB2312"/>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1" w:type="dxa"/>
            <w:noWrap w:val="0"/>
            <w:vAlign w:val="center"/>
          </w:tcPr>
          <w:p>
            <w:pPr>
              <w:autoSpaceDE w:val="0"/>
              <w:autoSpaceDN w:val="0"/>
              <w:adjustRightInd w:val="0"/>
              <w:spacing w:line="560" w:lineRule="exact"/>
              <w:jc w:val="center"/>
              <w:rPr>
                <w:rFonts w:ascii="Times New Roman" w:hAnsi="Times New Roman" w:eastAsia="仿宋_GB2312"/>
                <w:kern w:val="0"/>
                <w:sz w:val="24"/>
                <w:szCs w:val="28"/>
                <w:lang w:val="zh-CN"/>
              </w:rPr>
            </w:pPr>
            <w:r>
              <w:rPr>
                <w:rFonts w:hint="eastAsia" w:ascii="Times New Roman" w:hAnsi="Times New Roman" w:eastAsia="仿宋_GB2312"/>
                <w:kern w:val="0"/>
                <w:sz w:val="24"/>
                <w:szCs w:val="28"/>
                <w:lang w:val="zh-CN"/>
              </w:rPr>
              <w:t>8</w:t>
            </w:r>
          </w:p>
        </w:tc>
        <w:tc>
          <w:tcPr>
            <w:tcW w:w="6379" w:type="dxa"/>
            <w:noWrap w:val="0"/>
            <w:vAlign w:val="center"/>
          </w:tcPr>
          <w:p>
            <w:pPr>
              <w:jc w:val="left"/>
              <w:rPr>
                <w:rFonts w:ascii="仿宋_GB2312" w:hAnsi="宋体" w:eastAsia="仿宋_GB2312" w:cs="宋体"/>
                <w:color w:val="000000"/>
                <w:kern w:val="0"/>
                <w:sz w:val="24"/>
                <w:szCs w:val="30"/>
              </w:rPr>
            </w:pPr>
            <w:r>
              <w:rPr>
                <w:rFonts w:hint="eastAsia" w:ascii="仿宋_GB2312" w:hAnsi="宋体" w:eastAsia="仿宋_GB2312" w:cs="宋体"/>
                <w:color w:val="000000"/>
                <w:kern w:val="0"/>
                <w:sz w:val="24"/>
                <w:szCs w:val="30"/>
              </w:rPr>
              <w:t>深化产教融合校企合作的路径</w:t>
            </w:r>
          </w:p>
        </w:tc>
        <w:tc>
          <w:tcPr>
            <w:tcW w:w="1956" w:type="dxa"/>
            <w:noWrap w:val="0"/>
            <w:vAlign w:val="top"/>
          </w:tcPr>
          <w:p>
            <w:pPr>
              <w:autoSpaceDE w:val="0"/>
              <w:autoSpaceDN w:val="0"/>
              <w:adjustRightInd w:val="0"/>
              <w:spacing w:line="560" w:lineRule="exact"/>
              <w:rPr>
                <w:rFonts w:ascii="Times New Roman" w:hAnsi="Times New Roman" w:eastAsia="仿宋_GB2312"/>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1" w:type="dxa"/>
            <w:noWrap w:val="0"/>
            <w:vAlign w:val="center"/>
          </w:tcPr>
          <w:p>
            <w:pPr>
              <w:autoSpaceDE w:val="0"/>
              <w:autoSpaceDN w:val="0"/>
              <w:adjustRightInd w:val="0"/>
              <w:spacing w:line="560" w:lineRule="exact"/>
              <w:jc w:val="center"/>
              <w:rPr>
                <w:rFonts w:ascii="Times New Roman" w:hAnsi="Times New Roman" w:eastAsia="仿宋_GB2312"/>
                <w:kern w:val="0"/>
                <w:sz w:val="24"/>
                <w:szCs w:val="28"/>
                <w:lang w:val="zh-CN"/>
              </w:rPr>
            </w:pPr>
            <w:r>
              <w:rPr>
                <w:rFonts w:hint="eastAsia" w:ascii="Times New Roman" w:hAnsi="Times New Roman" w:eastAsia="仿宋_GB2312"/>
                <w:kern w:val="0"/>
                <w:sz w:val="24"/>
                <w:szCs w:val="28"/>
                <w:lang w:val="zh-CN"/>
              </w:rPr>
              <w:t>9</w:t>
            </w:r>
          </w:p>
        </w:tc>
        <w:tc>
          <w:tcPr>
            <w:tcW w:w="6379" w:type="dxa"/>
            <w:noWrap w:val="0"/>
            <w:vAlign w:val="center"/>
          </w:tcPr>
          <w:p>
            <w:pPr>
              <w:jc w:val="left"/>
              <w:rPr>
                <w:rFonts w:ascii="仿宋_GB2312" w:hAnsi="宋体" w:eastAsia="仿宋_GB2312" w:cs="宋体"/>
                <w:color w:val="000000"/>
                <w:kern w:val="0"/>
                <w:sz w:val="24"/>
                <w:szCs w:val="30"/>
              </w:rPr>
            </w:pPr>
            <w:r>
              <w:rPr>
                <w:rFonts w:hint="eastAsia" w:ascii="仿宋_GB2312" w:eastAsia="仿宋_GB2312"/>
                <w:color w:val="000000"/>
                <w:kern w:val="0"/>
                <w:sz w:val="24"/>
                <w:szCs w:val="30"/>
              </w:rPr>
              <w:t>对接产业链、创新链的专业结构调整与专业建设研究</w:t>
            </w:r>
          </w:p>
        </w:tc>
        <w:tc>
          <w:tcPr>
            <w:tcW w:w="1956" w:type="dxa"/>
            <w:noWrap w:val="0"/>
            <w:vAlign w:val="top"/>
          </w:tcPr>
          <w:p>
            <w:pPr>
              <w:autoSpaceDE w:val="0"/>
              <w:autoSpaceDN w:val="0"/>
              <w:adjustRightInd w:val="0"/>
              <w:spacing w:line="560" w:lineRule="exact"/>
              <w:rPr>
                <w:rFonts w:ascii="Times New Roman" w:hAnsi="Times New Roman" w:eastAsia="仿宋_GB2312"/>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1" w:type="dxa"/>
            <w:noWrap w:val="0"/>
            <w:vAlign w:val="center"/>
          </w:tcPr>
          <w:p>
            <w:pPr>
              <w:autoSpaceDE w:val="0"/>
              <w:autoSpaceDN w:val="0"/>
              <w:adjustRightInd w:val="0"/>
              <w:spacing w:line="560" w:lineRule="exact"/>
              <w:jc w:val="center"/>
              <w:rPr>
                <w:rFonts w:ascii="Times New Roman" w:hAnsi="Times New Roman" w:eastAsia="仿宋_GB2312"/>
                <w:kern w:val="0"/>
                <w:sz w:val="24"/>
                <w:szCs w:val="28"/>
                <w:lang w:val="zh-CN"/>
              </w:rPr>
            </w:pPr>
            <w:r>
              <w:rPr>
                <w:rFonts w:hint="eastAsia" w:ascii="Times New Roman" w:hAnsi="Times New Roman" w:eastAsia="仿宋_GB2312"/>
                <w:kern w:val="0"/>
                <w:sz w:val="24"/>
                <w:szCs w:val="28"/>
                <w:lang w:val="zh-CN"/>
              </w:rPr>
              <w:t>10</w:t>
            </w:r>
          </w:p>
        </w:tc>
        <w:tc>
          <w:tcPr>
            <w:tcW w:w="6379" w:type="dxa"/>
            <w:noWrap w:val="0"/>
            <w:vAlign w:val="center"/>
          </w:tcPr>
          <w:p>
            <w:pPr>
              <w:jc w:val="left"/>
              <w:rPr>
                <w:rFonts w:ascii="仿宋_GB2312" w:eastAsia="仿宋_GB2312"/>
                <w:color w:val="000000"/>
                <w:kern w:val="0"/>
                <w:sz w:val="24"/>
                <w:szCs w:val="30"/>
              </w:rPr>
            </w:pPr>
            <w:r>
              <w:rPr>
                <w:rFonts w:hint="eastAsia" w:ascii="仿宋_GB2312" w:hAnsi="宋体" w:eastAsia="仿宋_GB2312" w:cs="宋体"/>
                <w:color w:val="000000"/>
                <w:kern w:val="0"/>
                <w:sz w:val="24"/>
                <w:szCs w:val="30"/>
              </w:rPr>
              <w:t>基于信息化建设的教学研究项目管理、学籍管理研究</w:t>
            </w:r>
          </w:p>
        </w:tc>
        <w:tc>
          <w:tcPr>
            <w:tcW w:w="1956" w:type="dxa"/>
            <w:noWrap w:val="0"/>
            <w:vAlign w:val="top"/>
          </w:tcPr>
          <w:p>
            <w:pPr>
              <w:autoSpaceDE w:val="0"/>
              <w:autoSpaceDN w:val="0"/>
              <w:adjustRightInd w:val="0"/>
              <w:spacing w:line="560" w:lineRule="exact"/>
              <w:rPr>
                <w:rFonts w:ascii="Times New Roman" w:hAnsi="Times New Roman" w:eastAsia="仿宋_GB2312"/>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1" w:type="dxa"/>
            <w:noWrap w:val="0"/>
            <w:vAlign w:val="center"/>
          </w:tcPr>
          <w:p>
            <w:pPr>
              <w:autoSpaceDE w:val="0"/>
              <w:autoSpaceDN w:val="0"/>
              <w:adjustRightInd w:val="0"/>
              <w:spacing w:line="560" w:lineRule="exact"/>
              <w:jc w:val="center"/>
              <w:rPr>
                <w:rFonts w:ascii="Times New Roman" w:hAnsi="Times New Roman" w:eastAsia="仿宋_GB2312"/>
                <w:kern w:val="0"/>
                <w:sz w:val="24"/>
                <w:szCs w:val="28"/>
                <w:lang w:val="zh-CN"/>
              </w:rPr>
            </w:pPr>
            <w:r>
              <w:rPr>
                <w:rFonts w:hint="eastAsia" w:ascii="Times New Roman" w:hAnsi="Times New Roman" w:eastAsia="仿宋_GB2312"/>
                <w:kern w:val="0"/>
                <w:sz w:val="24"/>
                <w:szCs w:val="28"/>
                <w:lang w:val="zh-CN"/>
              </w:rPr>
              <w:t>11</w:t>
            </w:r>
          </w:p>
        </w:tc>
        <w:tc>
          <w:tcPr>
            <w:tcW w:w="6379" w:type="dxa"/>
            <w:noWrap w:val="0"/>
            <w:vAlign w:val="center"/>
          </w:tcPr>
          <w:p>
            <w:pPr>
              <w:jc w:val="left"/>
              <w:rPr>
                <w:rFonts w:ascii="仿宋_GB2312" w:eastAsia="仿宋_GB2312"/>
                <w:color w:val="000000"/>
                <w:kern w:val="0"/>
                <w:sz w:val="24"/>
                <w:szCs w:val="30"/>
              </w:rPr>
            </w:pPr>
            <w:r>
              <w:rPr>
                <w:rFonts w:hint="eastAsia" w:ascii="仿宋_GB2312" w:eastAsia="仿宋_GB2312"/>
                <w:color w:val="000000"/>
                <w:kern w:val="0"/>
                <w:sz w:val="24"/>
                <w:szCs w:val="30"/>
              </w:rPr>
              <w:t>翻转课堂、研究性学习等新型学习方式研究和实践</w:t>
            </w:r>
          </w:p>
        </w:tc>
        <w:tc>
          <w:tcPr>
            <w:tcW w:w="1956" w:type="dxa"/>
            <w:noWrap w:val="0"/>
            <w:vAlign w:val="top"/>
          </w:tcPr>
          <w:p>
            <w:pPr>
              <w:autoSpaceDE w:val="0"/>
              <w:autoSpaceDN w:val="0"/>
              <w:adjustRightInd w:val="0"/>
              <w:spacing w:line="560" w:lineRule="exact"/>
              <w:rPr>
                <w:rFonts w:ascii="Times New Roman" w:hAnsi="Times New Roman" w:eastAsia="仿宋_GB2312"/>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1" w:type="dxa"/>
            <w:noWrap w:val="0"/>
            <w:vAlign w:val="center"/>
          </w:tcPr>
          <w:p>
            <w:pPr>
              <w:autoSpaceDE w:val="0"/>
              <w:autoSpaceDN w:val="0"/>
              <w:adjustRightInd w:val="0"/>
              <w:spacing w:line="560" w:lineRule="exact"/>
              <w:jc w:val="center"/>
              <w:rPr>
                <w:rFonts w:ascii="Times New Roman" w:hAnsi="Times New Roman" w:eastAsia="仿宋_GB2312"/>
                <w:kern w:val="0"/>
                <w:sz w:val="24"/>
                <w:szCs w:val="28"/>
                <w:lang w:val="zh-CN"/>
              </w:rPr>
            </w:pPr>
            <w:r>
              <w:rPr>
                <w:rFonts w:hint="eastAsia" w:ascii="Times New Roman" w:hAnsi="Times New Roman" w:eastAsia="仿宋_GB2312"/>
                <w:kern w:val="0"/>
                <w:sz w:val="24"/>
                <w:szCs w:val="28"/>
                <w:lang w:val="zh-CN"/>
              </w:rPr>
              <w:t>12</w:t>
            </w:r>
          </w:p>
        </w:tc>
        <w:tc>
          <w:tcPr>
            <w:tcW w:w="6379" w:type="dxa"/>
            <w:noWrap w:val="0"/>
            <w:vAlign w:val="center"/>
          </w:tcPr>
          <w:p>
            <w:pPr>
              <w:jc w:val="left"/>
              <w:rPr>
                <w:rFonts w:ascii="仿宋_GB2312" w:eastAsia="仿宋_GB2312"/>
                <w:color w:val="000000"/>
                <w:kern w:val="0"/>
                <w:sz w:val="24"/>
                <w:szCs w:val="30"/>
              </w:rPr>
            </w:pPr>
            <w:r>
              <w:rPr>
                <w:rFonts w:hint="eastAsia" w:ascii="仿宋_GB2312" w:eastAsia="仿宋_GB2312"/>
                <w:color w:val="000000"/>
                <w:kern w:val="0"/>
                <w:sz w:val="24"/>
                <w:szCs w:val="30"/>
              </w:rPr>
              <w:t>基于移动互联网的混合教学支撑环境与方法研究</w:t>
            </w:r>
          </w:p>
        </w:tc>
        <w:tc>
          <w:tcPr>
            <w:tcW w:w="1956" w:type="dxa"/>
            <w:noWrap w:val="0"/>
            <w:vAlign w:val="top"/>
          </w:tcPr>
          <w:p>
            <w:pPr>
              <w:autoSpaceDE w:val="0"/>
              <w:autoSpaceDN w:val="0"/>
              <w:adjustRightInd w:val="0"/>
              <w:spacing w:line="560" w:lineRule="exact"/>
              <w:rPr>
                <w:rFonts w:ascii="Times New Roman" w:hAnsi="Times New Roman" w:eastAsia="仿宋_GB2312"/>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021" w:type="dxa"/>
            <w:noWrap w:val="0"/>
            <w:vAlign w:val="center"/>
          </w:tcPr>
          <w:p>
            <w:pPr>
              <w:autoSpaceDE w:val="0"/>
              <w:autoSpaceDN w:val="0"/>
              <w:adjustRightInd w:val="0"/>
              <w:spacing w:line="560" w:lineRule="exact"/>
              <w:jc w:val="center"/>
              <w:rPr>
                <w:rFonts w:ascii="Times New Roman" w:hAnsi="Times New Roman" w:eastAsia="仿宋_GB2312"/>
                <w:kern w:val="0"/>
                <w:sz w:val="24"/>
                <w:szCs w:val="28"/>
                <w:lang w:val="zh-CN"/>
              </w:rPr>
            </w:pPr>
            <w:r>
              <w:rPr>
                <w:rFonts w:hint="eastAsia" w:ascii="Times New Roman" w:hAnsi="Times New Roman" w:eastAsia="仿宋_GB2312"/>
                <w:kern w:val="0"/>
                <w:sz w:val="24"/>
                <w:szCs w:val="28"/>
                <w:lang w:val="zh-CN"/>
              </w:rPr>
              <w:t>13</w:t>
            </w:r>
          </w:p>
        </w:tc>
        <w:tc>
          <w:tcPr>
            <w:tcW w:w="6379" w:type="dxa"/>
            <w:noWrap w:val="0"/>
            <w:vAlign w:val="center"/>
          </w:tcPr>
          <w:p>
            <w:pPr>
              <w:jc w:val="left"/>
              <w:rPr>
                <w:rFonts w:ascii="仿宋_GB2312" w:eastAsia="仿宋_GB2312"/>
                <w:color w:val="000000"/>
                <w:kern w:val="0"/>
                <w:sz w:val="24"/>
                <w:szCs w:val="30"/>
              </w:rPr>
            </w:pPr>
            <w:r>
              <w:rPr>
                <w:rFonts w:hint="eastAsia" w:ascii="仿宋_GB2312" w:eastAsia="仿宋_GB2312"/>
                <w:color w:val="000000"/>
                <w:kern w:val="0"/>
                <w:sz w:val="24"/>
                <w:szCs w:val="30"/>
              </w:rPr>
              <w:t>过程性评价和多元考核机制研究与构建</w:t>
            </w:r>
          </w:p>
        </w:tc>
        <w:tc>
          <w:tcPr>
            <w:tcW w:w="1956" w:type="dxa"/>
            <w:noWrap w:val="0"/>
            <w:vAlign w:val="top"/>
          </w:tcPr>
          <w:p>
            <w:pPr>
              <w:autoSpaceDE w:val="0"/>
              <w:autoSpaceDN w:val="0"/>
              <w:adjustRightInd w:val="0"/>
              <w:spacing w:line="560" w:lineRule="exact"/>
              <w:rPr>
                <w:rFonts w:ascii="Times New Roman" w:hAnsi="Times New Roman" w:eastAsia="仿宋_GB2312"/>
                <w:kern w:val="0"/>
                <w:sz w:val="28"/>
                <w:szCs w:val="28"/>
                <w:lang w:val="zh-CN"/>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B16"/>
    <w:rsid w:val="00151210"/>
    <w:rsid w:val="00494B16"/>
    <w:rsid w:val="00B50D77"/>
    <w:rsid w:val="00DC4890"/>
    <w:rsid w:val="0C3011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lang w:val="es-ES"/>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lang w:val="es-ES"/>
    </w:rPr>
  </w:style>
  <w:style w:type="character" w:customStyle="1" w:styleId="6">
    <w:name w:val="页眉 字符"/>
    <w:basedOn w:val="5"/>
    <w:link w:val="3"/>
    <w:qFormat/>
    <w:uiPriority w:val="99"/>
    <w:rPr>
      <w:sz w:val="18"/>
      <w:szCs w:val="18"/>
      <w:lang w:val="es-ES"/>
    </w:rPr>
  </w:style>
  <w:style w:type="character" w:customStyle="1" w:styleId="7">
    <w:name w:val="页脚 字符"/>
    <w:basedOn w:val="5"/>
    <w:link w:val="2"/>
    <w:qFormat/>
    <w:uiPriority w:val="99"/>
    <w:rPr>
      <w:sz w:val="18"/>
      <w:szCs w:val="18"/>
      <w:lang w:val="es-E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NGXBYYX</Company>
  <Pages>5</Pages>
  <Words>337</Words>
  <Characters>1923</Characters>
  <Lines>16</Lines>
  <Paragraphs>4</Paragraphs>
  <TotalTime>0</TotalTime>
  <ScaleCrop>false</ScaleCrop>
  <LinksUpToDate>false</LinksUpToDate>
  <CharactersWithSpaces>2256</CharactersWithSpaces>
  <Application>WPS Office_11.3.0.8586_F1E327BC-269C-435d-A152-05C5408002CA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2018-07-22T10:46:00Z</dcterms:created>
  <dc:creator>Fan Yang</dc:creator>
  <cp:lastModifiedBy>李捷</cp:lastModifiedBy>
  <dcterms:modified xsi:type="dcterms:W3CDTF">2019-06-10T03:16:03Z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